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475" w:type="dxa"/>
        <w:jc w:val="start"/>
        <w:tblInd w:w="-15" w:type="dxa"/>
        <w:tblLayout w:type="fixed"/>
        <w:tblCellMar>
          <w:top w:w="0" w:type="dxa"/>
          <w:start w:w="0" w:type="dxa"/>
          <w:bottom w:w="0" w:type="dxa"/>
          <w:end w:w="0" w:type="dxa"/>
        </w:tblCellMar>
      </w:tblPr>
      <w:tblGrid>
        <w:gridCol w:w="8475"/>
      </w:tblGrid>
      <w:tr>
        <w:trPr/>
        <w:tc>
          <w:tcPr>
            <w:tcW w:w="8475" w:type="dxa"/>
            <w:tcBorders/>
            <w:vAlign w:val="center"/>
          </w:tcPr>
          <w:p>
            <w:pPr>
              <w:pStyle w:val="Normal"/>
              <w:rPr>
                <w:rFonts w:ascii="Arial Unicode MS" w:hAnsi="Arial Unicode MS" w:eastAsia="Arial Unicode MS" w:cs="Arial Unicode MS"/>
              </w:rPr>
            </w:pPr>
            <w:r>
              <w:rPr>
                <w:rFonts w:cs="Arial" w:ascii="Arial" w:hAnsi="Arial"/>
                <w:b/>
                <w:bCs/>
                <w:color w:val="000000"/>
                <w:sz w:val="18"/>
                <w:szCs w:val="18"/>
              </w:rPr>
              <w:t>MOODYS DOWNGRADES ENRON CORP LONG TERM DEBT RATINGS (SENIOR UNSECURED TO Baa2) AND KEEPS THEM UNDER REVIEW FOR DOWNGRADE; PLACES ENRON'S P-2 COMMERCIAL PAPER RATING ON REVIEW FOR DOWNGRADE.</w:t>
            </w:r>
          </w:p>
        </w:tc>
      </w:tr>
      <w:tr>
        <w:trPr/>
        <w:tc>
          <w:tcPr>
            <w:tcW w:w="8475" w:type="dxa"/>
            <w:tcBorders/>
            <w:vAlign w:val="center"/>
          </w:tcPr>
          <w:p>
            <w:pPr>
              <w:pStyle w:val="Heading4"/>
              <w:spacing w:before="100" w:after="100"/>
              <w:ind w:hanging="0" w:start="0" w:end="789"/>
              <w:rPr/>
            </w:pPr>
            <w:r>
              <w:rPr/>
              <w:t>Approximately $13.0 of Securities Affected.</w:t>
            </w:r>
          </w:p>
        </w:tc>
      </w:tr>
    </w:tbl>
    <w:p>
      <w:pPr>
        <w:pStyle w:val="Normal"/>
        <w:rPr>
          <w:vanish/>
        </w:rPr>
      </w:pPr>
      <w:r>
        <w:rPr>
          <w:vanish/>
        </w:rPr>
      </w:r>
    </w:p>
    <w:tbl>
      <w:tblPr>
        <w:tblW w:w="8670" w:type="dxa"/>
        <w:jc w:val="start"/>
        <w:tblInd w:w="-15" w:type="dxa"/>
        <w:tblLayout w:type="fixed"/>
        <w:tblCellMar>
          <w:top w:w="0" w:type="dxa"/>
          <w:start w:w="0" w:type="dxa"/>
          <w:bottom w:w="0" w:type="dxa"/>
          <w:end w:w="0" w:type="dxa"/>
        </w:tblCellMar>
      </w:tblPr>
      <w:tblGrid>
        <w:gridCol w:w="8670"/>
      </w:tblGrid>
      <w:tr>
        <w:trPr>
          <w:trHeight w:val="1284" w:hRule="atLeast"/>
        </w:trPr>
        <w:tc>
          <w:tcPr>
            <w:tcW w:w="8670" w:type="dxa"/>
            <w:tcBorders/>
            <w:shd w:fill="FFFFFF" w:val="clear"/>
            <w:vAlign w:val="center"/>
          </w:tcPr>
          <w:p>
            <w:pPr>
              <w:pStyle w:val="Normal"/>
              <w:spacing w:before="0" w:after="240"/>
              <w:rPr>
                <w:rFonts w:ascii="Arial" w:hAnsi="Arial" w:cs="Arial"/>
                <w:color w:val="000000"/>
                <w:sz w:val="18"/>
                <w:szCs w:val="18"/>
              </w:rPr>
            </w:pPr>
            <w:r>
              <w:rPr>
                <w:rFonts w:cs="Arial" w:ascii="Arial" w:hAnsi="Arial"/>
                <w:color w:val="000000"/>
                <w:sz w:val="18"/>
                <w:szCs w:val="18"/>
              </w:rPr>
              <w:t xml:space="preserve">Moody's Investors Service today lowered the senior unsecured long-term debt ratings of Enron Corp from Baa1 to Baa2 where they remain on review for downgrade. Moody's additionally placed the company's Prime-2 rating for commercial paper on review for downgrade. Moody's initially placed Enron's long-term debt ratings on review on October 16th. </w:t>
              <w:br/>
              <w:br/>
              <w:br/>
              <w:t xml:space="preserve">Moody's actions are prompted by the deterioration in Enron's financial flexibility since the company announced significant write-downs as well as equity charges in previously undisclosed partnership investments. This led to a substantial loss in investor confidence that has led to a more than halving of Enron's share price and difficulties in rolling over commercial paper. </w:t>
              <w:br/>
              <w:br/>
              <w:t xml:space="preserve">In response to these events, Enron has shored up its near term liquidity position by drawing down on all of its committed revolving credit facilities and buying back its outstanding commercial paper. This would leave the company with a net cash position of approximately $1.2 billion. In addition, Enron is in the process of arranging additional bank financing to support its core wholesale trading operations. </w:t>
              <w:br/>
            </w:r>
          </w:p>
          <w:p>
            <w:pPr>
              <w:pStyle w:val="Normal"/>
              <w:spacing w:before="0" w:after="240"/>
              <w:rPr>
                <w:rFonts w:ascii="Arial Unicode MS" w:hAnsi="Arial Unicode MS" w:eastAsia="Arial Unicode MS" w:cs="Arial Unicode MS"/>
              </w:rPr>
            </w:pPr>
            <w:r>
              <w:rPr>
                <w:rFonts w:cs="Arial" w:ascii="Arial" w:hAnsi="Arial"/>
                <w:color w:val="000000"/>
                <w:sz w:val="18"/>
                <w:szCs w:val="18"/>
              </w:rPr>
              <w:t xml:space="preserve">Moody's analysis of the developing situation will focus on management's success in lining up further liquidity support and on their ability to retain credit availability from their major counterparties. This will be critical to enable Enron's wholesale business to sustain its earnings and cash flow generation in order to support significant balance sheet obligations. Moody's will also review management's asset sale plan and valuations. Enron expects to receive close to $2 billion in proceeds, with the largest component coming from the sale of Portland General Electric Co. Moody's will focus on the timing and risks to the consummation of those transactions. Furthermore, the rating agency will review Enron's off-balance sheet transactions to ascertain the extent to which the company will be able to meet any shortfalls with equity or with additional debt. </w:t>
              <w:br/>
            </w:r>
            <w:r>
              <w:rPr>
                <w:rFonts w:cs="Arial" w:ascii="Arial" w:hAnsi="Arial"/>
                <w:color w:val="000000"/>
                <w:sz w:val="16"/>
                <w:szCs w:val="18"/>
              </w:rPr>
              <w:br/>
              <w:t>Debt securities under review include:</w:t>
              <w:br/>
              <w:br/>
              <w:t>Guaranteed Senior Notes A3</w:t>
              <w:br/>
              <w:br/>
              <w:t>Senior Unsecured Baa1</w:t>
              <w:br/>
              <w:br/>
              <w:t>Senior Secured or Conv./Exch. Sr. Sec. Shelf (P)A3 / (P)Baa1 / (P)Baa3</w:t>
              <w:br/>
              <w:br/>
              <w:t>Senior Subordinated Baa2</w:t>
              <w:br/>
              <w:br/>
              <w:t>Guaranteed Cum. Trust Preferred Baa2</w:t>
              <w:br/>
              <w:br/>
              <w:t>Guaranteed Trust Preferred Baa2</w:t>
              <w:br/>
              <w:br/>
              <w:t>Senior Subordinated Shelf (P)Baa2</w:t>
              <w:br/>
              <w:br/>
              <w:t>Cum. Guaranteed Preferred Stock Baa3</w:t>
              <w:br/>
              <w:br/>
              <w:t>Cum. Guaranteed Preferred Stock Shelf (P)Baa3</w:t>
              <w:br/>
              <w:br/>
              <w:t>Commercial Paper P-2</w:t>
              <w:br/>
              <w:br/>
              <w:t>Marlin Water Trust (Backed Sr. Sec.) Baa1</w:t>
            </w:r>
            <w:r>
              <w:rPr>
                <w:rFonts w:cs="Arial" w:ascii="Arial" w:hAnsi="Arial"/>
                <w:color w:val="000000"/>
                <w:sz w:val="18"/>
                <w:szCs w:val="18"/>
              </w:rPr>
              <w:br/>
              <w:br/>
              <w:t>Osprey Trust (Backed Sr. Sec.) Baa2</w:t>
              <w:br/>
              <w:br/>
              <w:t>European Power Limited Company (Sr. Sec.) Ba2</w:t>
              <w:br/>
              <w:br/>
              <w:t xml:space="preserve">Enron is one of the world's largest energy companies with approximately $63.4 billion in energy assets. The company produces electricity and transports natural gas, develops, constructs and operates energy facilities, and markets and delivers physical commodities and financial and risk management services. It is headquartered in Houston, Texas. </w:t>
            </w:r>
          </w:p>
        </w:tc>
      </w:tr>
    </w:tbl>
    <w:p>
      <w:pPr>
        <w:pStyle w:val="Normal"/>
        <w:rPr>
          <w:vanish/>
        </w:rPr>
      </w:pPr>
      <w:r>
        <w:rPr>
          <w:vanish/>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4">
    <w:name w:val="heading 4"/>
    <w:basedOn w:val="Normal"/>
    <w:next w:val="BodyText"/>
    <w:qFormat/>
    <w:pPr>
      <w:numPr>
        <w:ilvl w:val="3"/>
        <w:numId w:val="1"/>
      </w:numPr>
      <w:spacing w:before="100" w:after="100"/>
      <w:outlineLvl w:val="3"/>
    </w:pPr>
    <w:rPr>
      <w:rFonts w:ascii="Verdana" w:hAnsi="Verdana" w:eastAsia="Arial Unicode MS" w:cs="Arial Unicode MS"/>
      <w:b/>
      <w:bCs/>
      <w:color w:val="000000"/>
      <w:sz w:val="16"/>
      <w:szCs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2001-10-29T14:56:00Z</dcterms:created>
  <dc:creator>dmoreno</dc:creator>
  <dc:description/>
  <dc:language>en-CA</dc:language>
  <cp:lastModifiedBy>dmoreno</cp:lastModifiedBy>
  <dcterms:modified xsi:type="dcterms:W3CDTF">2001-10-29T15:06:00Z</dcterms:modified>
  <cp:revision>2</cp:revision>
  <dc:subject/>
  <dc:title>MOODYS DOWNGRADES ENRON CORP LONG TERM DEBT RATINGS (SENIOR UNSECURED TO Baa2) AND KEEPS THEM UNDER REVIEW FOR DOWNGRADE; PLAC</dc:title>
</cp:coreProperties>
</file>