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9808" w:type="dxa"/>
        <w:jc w:val="start"/>
        <w:tblInd w:w="200" w:type="dxa"/>
        <w:tblLayout w:type="fixed"/>
        <w:tblCellMar>
          <w:top w:w="0" w:type="dxa"/>
          <w:start w:w="108" w:type="dxa"/>
          <w:bottom w:w="0" w:type="dxa"/>
          <w:end w:w="108" w:type="dxa"/>
        </w:tblCellMar>
      </w:tblPr>
      <w:tblGrid>
        <w:gridCol w:w="708"/>
        <w:gridCol w:w="5410"/>
        <w:gridCol w:w="1174"/>
        <w:gridCol w:w="2516"/>
      </w:tblGrid>
      <w:tr>
        <w:trPr>
          <w:trHeight w:val="300" w:hRule="exact"/>
        </w:trPr>
        <w:tc>
          <w:tcPr>
            <w:tcW w:w="708" w:type="dxa"/>
            <w:tcBorders/>
          </w:tcPr>
          <w:p>
            <w:pPr>
              <w:pStyle w:val="Normal"/>
              <w:ind w:start="-180" w:end="0"/>
              <w:jc w:val="end"/>
              <w:rPr>
                <w:sz w:val="16"/>
              </w:rPr>
            </w:pPr>
            <w:r>
              <w:rPr>
                <w:sz w:val="16"/>
              </w:rPr>
              <w:t>To:</w:t>
            </w:r>
          </w:p>
        </w:tc>
        <w:tc>
          <w:tcPr>
            <w:tcW w:w="5410" w:type="dxa"/>
            <w:tcBorders/>
          </w:tcPr>
          <w:p>
            <w:pPr>
              <w:pStyle w:val="To"/>
              <w:rPr/>
            </w:pPr>
            <w:bookmarkStart w:id="0" w:name="to"/>
            <w:bookmarkEnd w:id="0"/>
            <w:r>
              <w:rPr/>
              <w:t>Steve Kean</w:t>
            </w:r>
          </w:p>
        </w:tc>
        <w:tc>
          <w:tcPr>
            <w:tcW w:w="1174" w:type="dxa"/>
            <w:tcBorders/>
          </w:tcPr>
          <w:p>
            <w:pPr>
              <w:pStyle w:val="Normal"/>
              <w:snapToGrid w:val="false"/>
              <w:ind w:start="-180" w:end="0"/>
              <w:rPr/>
            </w:pPr>
            <w:r>
              <w:rPr/>
            </w:r>
          </w:p>
        </w:tc>
        <w:tc>
          <w:tcPr>
            <w:tcW w:w="2516"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5410" w:type="dxa"/>
            <w:tcBorders/>
          </w:tcPr>
          <w:p>
            <w:pPr>
              <w:pStyle w:val="Normal"/>
              <w:snapToGrid w:val="false"/>
              <w:rPr>
                <w:sz w:val="18"/>
              </w:rPr>
            </w:pPr>
            <w:r>
              <w:rPr>
                <w:sz w:val="18"/>
              </w:rPr>
            </w:r>
          </w:p>
        </w:tc>
        <w:tc>
          <w:tcPr>
            <w:tcW w:w="1174" w:type="dxa"/>
            <w:tcBorders/>
          </w:tcPr>
          <w:p>
            <w:pPr>
              <w:pStyle w:val="Normal"/>
              <w:snapToGrid w:val="false"/>
              <w:ind w:start="-180" w:end="0"/>
              <w:rPr>
                <w:sz w:val="18"/>
              </w:rPr>
            </w:pPr>
            <w:r>
              <w:rPr>
                <w:sz w:val="18"/>
              </w:rPr>
            </w:r>
          </w:p>
        </w:tc>
        <w:tc>
          <w:tcPr>
            <w:tcW w:w="2516" w:type="dxa"/>
            <w:tcBorders/>
          </w:tcPr>
          <w:p>
            <w:pPr>
              <w:pStyle w:val="Normal"/>
              <w:snapToGrid w:val="false"/>
              <w:rPr>
                <w:sz w:val="18"/>
              </w:rPr>
            </w:pPr>
            <w:r>
              <w:rPr>
                <w:sz w:val="18"/>
              </w:rPr>
            </w:r>
          </w:p>
        </w:tc>
      </w:tr>
      <w:tr>
        <w:trPr>
          <w:trHeight w:val="387" w:hRule="exact"/>
        </w:trPr>
        <w:tc>
          <w:tcPr>
            <w:tcW w:w="708" w:type="dxa"/>
            <w:tcBorders/>
          </w:tcPr>
          <w:p>
            <w:pPr>
              <w:pStyle w:val="Normal"/>
              <w:ind w:start="-180" w:end="0"/>
              <w:jc w:val="end"/>
              <w:rPr>
                <w:sz w:val="16"/>
              </w:rPr>
            </w:pPr>
            <w:r>
              <w:rPr>
                <w:sz w:val="16"/>
              </w:rPr>
              <w:t>From:</w:t>
            </w:r>
          </w:p>
        </w:tc>
        <w:tc>
          <w:tcPr>
            <w:tcW w:w="5410" w:type="dxa"/>
            <w:tcBorders/>
          </w:tcPr>
          <w:p>
            <w:pPr>
              <w:pStyle w:val="From"/>
              <w:rPr/>
            </w:pPr>
            <w:r>
              <w:rPr/>
              <w:t>Sandra Lighthill</w:t>
            </w:r>
          </w:p>
        </w:tc>
        <w:tc>
          <w:tcPr>
            <w:tcW w:w="1174" w:type="dxa"/>
            <w:tcBorders/>
          </w:tcPr>
          <w:p>
            <w:pPr>
              <w:pStyle w:val="Normal"/>
              <w:ind w:start="-180" w:end="0"/>
              <w:jc w:val="end"/>
              <w:rPr>
                <w:sz w:val="16"/>
              </w:rPr>
            </w:pPr>
            <w:r>
              <w:rPr>
                <w:sz w:val="16"/>
              </w:rPr>
              <w:t>Department:</w:t>
            </w:r>
          </w:p>
        </w:tc>
        <w:tc>
          <w:tcPr>
            <w:tcW w:w="2516" w:type="dxa"/>
            <w:tcBorders/>
          </w:tcPr>
          <w:p>
            <w:pPr>
              <w:pStyle w:val="Department"/>
              <w:tabs>
                <w:tab w:val="left" w:pos="3037" w:leader="none"/>
              </w:tabs>
              <w:ind w:end="-548"/>
              <w:rPr>
                <w:sz w:val="16"/>
              </w:rPr>
            </w:pPr>
            <w:bookmarkStart w:id="1" w:name="From"/>
            <w:bookmarkEnd w:id="1"/>
            <w:r>
              <w:rPr>
                <w:sz w:val="16"/>
              </w:rPr>
              <w:t>Office of Labor &amp;</w:t>
            </w:r>
          </w:p>
          <w:p>
            <w:pPr>
              <w:pStyle w:val="Department"/>
              <w:tabs>
                <w:tab w:val="left" w:pos="3037" w:leader="none"/>
              </w:tabs>
              <w:ind w:end="-548"/>
              <w:rPr>
                <w:sz w:val="16"/>
              </w:rPr>
            </w:pPr>
            <w:r>
              <w:rPr>
                <w:sz w:val="16"/>
              </w:rPr>
              <w:t>Employment Relations</w:t>
            </w:r>
          </w:p>
        </w:tc>
      </w:tr>
      <w:tr>
        <w:trPr>
          <w:trHeight w:val="216" w:hRule="exact"/>
        </w:trPr>
        <w:tc>
          <w:tcPr>
            <w:tcW w:w="708" w:type="dxa"/>
            <w:tcBorders/>
          </w:tcPr>
          <w:p>
            <w:pPr>
              <w:pStyle w:val="Normal"/>
              <w:snapToGrid w:val="false"/>
              <w:ind w:start="-180" w:end="0"/>
              <w:jc w:val="end"/>
              <w:rPr>
                <w:sz w:val="18"/>
              </w:rPr>
            </w:pPr>
            <w:r>
              <w:rPr>
                <w:sz w:val="18"/>
              </w:rPr>
            </w:r>
          </w:p>
        </w:tc>
        <w:tc>
          <w:tcPr>
            <w:tcW w:w="5410" w:type="dxa"/>
            <w:tcBorders/>
          </w:tcPr>
          <w:p>
            <w:pPr>
              <w:pStyle w:val="Normal"/>
              <w:snapToGrid w:val="false"/>
              <w:rPr>
                <w:sz w:val="18"/>
              </w:rPr>
            </w:pPr>
            <w:r>
              <w:rPr>
                <w:sz w:val="18"/>
              </w:rPr>
            </w:r>
          </w:p>
        </w:tc>
        <w:tc>
          <w:tcPr>
            <w:tcW w:w="1174" w:type="dxa"/>
            <w:tcBorders/>
          </w:tcPr>
          <w:p>
            <w:pPr>
              <w:pStyle w:val="Normal"/>
              <w:snapToGrid w:val="false"/>
              <w:ind w:start="-180" w:end="0"/>
              <w:rPr>
                <w:sz w:val="18"/>
              </w:rPr>
            </w:pPr>
            <w:r>
              <w:rPr>
                <w:sz w:val="18"/>
              </w:rPr>
            </w:r>
          </w:p>
        </w:tc>
        <w:tc>
          <w:tcPr>
            <w:tcW w:w="2516" w:type="dxa"/>
            <w:tcBorders/>
          </w:tcPr>
          <w:p>
            <w:pPr>
              <w:pStyle w:val="Normal"/>
              <w:snapToGrid w:val="false"/>
              <w:rPr>
                <w:sz w:val="16"/>
              </w:rPr>
            </w:pPr>
            <w:r>
              <w:rPr>
                <w:sz w:val="16"/>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5410" w:type="dxa"/>
            <w:tcBorders>
              <w:bottom w:val="single" w:sz="18" w:space="0" w:color="000000"/>
            </w:tcBorders>
          </w:tcPr>
          <w:p>
            <w:pPr>
              <w:pStyle w:val="Subject"/>
              <w:rPr/>
            </w:pPr>
            <w:bookmarkStart w:id="2" w:name="Subject"/>
            <w:bookmarkEnd w:id="2"/>
            <w:r>
              <w:rPr/>
              <w:t>Updated 11/7/00 Utilization Report</w:t>
            </w:r>
          </w:p>
        </w:tc>
        <w:tc>
          <w:tcPr>
            <w:tcW w:w="1174" w:type="dxa"/>
            <w:tcBorders>
              <w:bottom w:val="single" w:sz="18" w:space="0" w:color="000000"/>
            </w:tcBorders>
          </w:tcPr>
          <w:p>
            <w:pPr>
              <w:pStyle w:val="Normal"/>
              <w:ind w:start="-180" w:end="0"/>
              <w:jc w:val="end"/>
              <w:rPr>
                <w:sz w:val="16"/>
              </w:rPr>
            </w:pPr>
            <w:r>
              <w:rPr>
                <w:sz w:val="16"/>
              </w:rPr>
              <w:t>Date:</w:t>
            </w:r>
          </w:p>
        </w:tc>
        <w:tc>
          <w:tcPr>
            <w:tcW w:w="2516" w:type="dxa"/>
            <w:tcBorders>
              <w:bottom w:val="single" w:sz="18" w:space="0" w:color="000000"/>
            </w:tcBorders>
          </w:tcPr>
          <w:p>
            <w:pPr>
              <w:pStyle w:val="Date"/>
              <w:ind w:end="162"/>
              <w:rPr/>
            </w:pPr>
            <w:r>
              <w:rPr/>
              <w:t>November 27, 2000</w:t>
            </w:r>
          </w:p>
        </w:tc>
      </w:tr>
    </w:tbl>
    <w:p>
      <w:pPr>
        <w:pStyle w:val="Normal"/>
        <w:ind w:start="180" w:end="0"/>
        <w:jc w:val="both"/>
        <w:rPr>
          <w:sz w:val="20"/>
        </w:rPr>
      </w:pPr>
      <w:r>
        <w:rPr>
          <w:sz w:val="20"/>
        </w:rPr>
      </w:r>
    </w:p>
    <w:p>
      <w:pPr>
        <w:pStyle w:val="Normal"/>
        <w:jc w:val="both"/>
        <w:rPr/>
      </w:pPr>
      <w:r>
        <w:rPr>
          <w:sz w:val="20"/>
        </w:rPr>
        <w:t xml:space="preserve">Attached for your reference is the 11/7/00 updated AAP Utilization Analysis.  The Utilization Analysis will give you a general reference of the utilization of women and total minorities in your organization as of 11/7/00.  The original goals of your company’s AAP as of 1/15/00 are </w:t>
      </w:r>
      <w:r>
        <w:rPr>
          <w:sz w:val="20"/>
          <w:highlight w:val="yellow"/>
        </w:rPr>
        <w:t>highlighted in yellow</w:t>
      </w:r>
      <w:r>
        <w:rPr>
          <w:sz w:val="20"/>
        </w:rPr>
        <w:t xml:space="preserve"> in the analysis.  If  a group has a </w:t>
      </w:r>
      <w:r>
        <w:rPr>
          <w:sz w:val="20"/>
          <w:highlight w:val="cyan"/>
        </w:rPr>
        <w:t>blue highlight</w:t>
      </w:r>
      <w:r>
        <w:rPr>
          <w:sz w:val="20"/>
        </w:rPr>
        <w:t xml:space="preserve"> then that means the utilization of either women or minorities had dropped sufficiently enough to set an AAP goal for the 11/7/00 report.  It also means that the AAP goal should be interpreted as a warning signal for the next AAP plan year.  This information is provided to alert you of employment trends for the reporting organization.</w:t>
      </w:r>
    </w:p>
    <w:p>
      <w:pPr>
        <w:pStyle w:val="Normal"/>
        <w:jc w:val="both"/>
        <w:rPr>
          <w:sz w:val="20"/>
        </w:rPr>
      </w:pPr>
      <w:r>
        <w:rPr>
          <w:sz w:val="20"/>
        </w:rPr>
      </w:r>
    </w:p>
    <w:p>
      <w:pPr>
        <w:pStyle w:val="Normal"/>
        <w:jc w:val="both"/>
        <w:rPr>
          <w:sz w:val="20"/>
        </w:rPr>
      </w:pPr>
      <w:r>
        <w:rPr>
          <w:sz w:val="20"/>
        </w:rPr>
        <w:t>Definitions of the column headings on the attached Utilization Analysis are explained below to facilitate your understanding:</w:t>
      </w:r>
    </w:p>
    <w:p>
      <w:pPr>
        <w:pStyle w:val="Normal"/>
        <w:jc w:val="both"/>
        <w:rPr>
          <w:sz w:val="20"/>
        </w:rPr>
      </w:pPr>
      <w:r>
        <w:rPr>
          <w:sz w:val="20"/>
        </w:rPr>
      </w:r>
    </w:p>
    <w:p>
      <w:pPr>
        <w:pStyle w:val="Normal"/>
        <w:numPr>
          <w:ilvl w:val="0"/>
          <w:numId w:val="2"/>
        </w:numPr>
        <w:jc w:val="both"/>
        <w:rPr>
          <w:sz w:val="20"/>
        </w:rPr>
      </w:pPr>
      <w:r>
        <w:rPr>
          <w:b/>
          <w:sz w:val="20"/>
        </w:rPr>
        <w:t xml:space="preserve">Total Staff # at 11/7/00 </w:t>
      </w:r>
      <w:r>
        <w:rPr>
          <w:sz w:val="20"/>
        </w:rPr>
        <w:t>identifies the headcount of all the employees in the AAP Job Group employed as of 11/7/00.</w:t>
      </w:r>
    </w:p>
    <w:p>
      <w:pPr>
        <w:pStyle w:val="Normal"/>
        <w:numPr>
          <w:ilvl w:val="0"/>
          <w:numId w:val="2"/>
        </w:numPr>
        <w:jc w:val="both"/>
        <w:rPr>
          <w:sz w:val="20"/>
        </w:rPr>
      </w:pPr>
      <w:r>
        <w:rPr>
          <w:b/>
          <w:sz w:val="20"/>
        </w:rPr>
        <w:t xml:space="preserve">Percent of Staff Mix Needed </w:t>
      </w:r>
      <w:r>
        <w:rPr>
          <w:sz w:val="20"/>
        </w:rPr>
        <w:t>identifies the availability percent of women or minorities needed for the job group.</w:t>
      </w:r>
    </w:p>
    <w:p>
      <w:pPr>
        <w:pStyle w:val="Normal"/>
        <w:numPr>
          <w:ilvl w:val="0"/>
          <w:numId w:val="2"/>
        </w:numPr>
        <w:jc w:val="both"/>
        <w:rPr>
          <w:sz w:val="20"/>
        </w:rPr>
      </w:pPr>
      <w:r>
        <w:rPr>
          <w:b/>
          <w:sz w:val="20"/>
        </w:rPr>
        <w:t xml:space="preserve">Staff # Mix 11/7/00 </w:t>
      </w:r>
      <w:r>
        <w:rPr>
          <w:sz w:val="20"/>
        </w:rPr>
        <w:t>identifies the current whole number count of women or minorities in the job group.</w:t>
      </w:r>
    </w:p>
    <w:p>
      <w:pPr>
        <w:pStyle w:val="Normal"/>
        <w:numPr>
          <w:ilvl w:val="0"/>
          <w:numId w:val="2"/>
        </w:numPr>
        <w:jc w:val="both"/>
        <w:rPr>
          <w:sz w:val="20"/>
        </w:rPr>
      </w:pPr>
      <w:r>
        <w:rPr>
          <w:b/>
          <w:sz w:val="20"/>
        </w:rPr>
        <w:t>Percent Staff Mix 11/7/00</w:t>
      </w:r>
      <w:r>
        <w:rPr>
          <w:sz w:val="20"/>
        </w:rPr>
        <w:t xml:space="preserve"> identifies the percent of women or minority staff in the job group to be compared to Percent of Staff Mix Needed.</w:t>
      </w:r>
    </w:p>
    <w:p>
      <w:pPr>
        <w:pStyle w:val="Normal"/>
        <w:numPr>
          <w:ilvl w:val="0"/>
          <w:numId w:val="2"/>
        </w:numPr>
        <w:jc w:val="both"/>
        <w:rPr>
          <w:sz w:val="20"/>
        </w:rPr>
      </w:pPr>
      <w:r>
        <w:rPr>
          <w:b/>
          <w:sz w:val="20"/>
        </w:rPr>
        <w:t xml:space="preserve">Deficiency in #’s using 80% Rule </w:t>
      </w:r>
      <w:r>
        <w:rPr>
          <w:sz w:val="20"/>
        </w:rPr>
        <w:t>represents the whole number of either women or minorities that should be targeted to achieve full utilization as of 11/7/00 for the job group.</w:t>
      </w:r>
    </w:p>
    <w:p>
      <w:pPr>
        <w:pStyle w:val="Normal"/>
        <w:numPr>
          <w:ilvl w:val="0"/>
          <w:numId w:val="2"/>
        </w:numPr>
        <w:jc w:val="both"/>
        <w:rPr>
          <w:sz w:val="20"/>
        </w:rPr>
      </w:pPr>
      <w:r>
        <w:rPr>
          <w:b/>
          <w:sz w:val="20"/>
        </w:rPr>
        <w:t xml:space="preserve">Greater Than A Whole Person? </w:t>
      </w:r>
      <w:r>
        <w:rPr>
          <w:sz w:val="20"/>
        </w:rPr>
        <w:t>identified by an asterisk means the number of either females or minorities is greater than a whole person and an AAP goal should be set.</w:t>
      </w:r>
    </w:p>
    <w:p>
      <w:pPr>
        <w:pStyle w:val="Normal"/>
        <w:tabs>
          <w:tab w:val="left" w:pos="540" w:leader="none"/>
          <w:tab w:val="left" w:pos="900" w:leader="none"/>
        </w:tabs>
        <w:jc w:val="both"/>
        <w:rPr>
          <w:sz w:val="20"/>
        </w:rPr>
      </w:pPr>
      <w:r>
        <w:rPr>
          <w:sz w:val="20"/>
        </w:rPr>
      </w:r>
    </w:p>
    <w:p>
      <w:pPr>
        <w:pStyle w:val="Normal"/>
        <w:tabs>
          <w:tab w:val="left" w:pos="540" w:leader="none"/>
          <w:tab w:val="left" w:pos="900" w:leader="none"/>
        </w:tabs>
        <w:jc w:val="both"/>
        <w:rPr>
          <w:sz w:val="20"/>
        </w:rPr>
      </w:pPr>
      <w:r>
        <w:rPr>
          <w:sz w:val="20"/>
        </w:rPr>
        <w:t>Enron Corp. continues to be committed to Equal Employment Opportunity.  It is our policy to treat all employees and job applicants fairly and in accordance with the law.  Our policy applies to all aspects of employment including, but not limited to, recruitment, hires, promotions, training, education, work assignments and developmental opportunities, compensation, benefits, leaves of absence, transfers, reductions-in-force, and reasonable accommodations regarding disability or religion.  Fair treatment is a basic tenet of our employment practices and contributes directly to a capable and motivated work force.</w:t>
      </w:r>
    </w:p>
    <w:p>
      <w:pPr>
        <w:pStyle w:val="Normal"/>
        <w:tabs>
          <w:tab w:val="left" w:pos="540" w:leader="none"/>
          <w:tab w:val="left" w:pos="900" w:leader="none"/>
        </w:tabs>
        <w:jc w:val="both"/>
        <w:rPr>
          <w:sz w:val="20"/>
        </w:rPr>
      </w:pPr>
      <w:r>
        <w:rPr>
          <w:sz w:val="20"/>
        </w:rPr>
      </w:r>
    </w:p>
    <w:p>
      <w:pPr>
        <w:pStyle w:val="Normal"/>
        <w:tabs>
          <w:tab w:val="left" w:pos="540" w:leader="none"/>
          <w:tab w:val="left" w:pos="900" w:leader="none"/>
        </w:tabs>
        <w:jc w:val="both"/>
        <w:rPr/>
      </w:pPr>
      <w:r>
        <w:rPr>
          <w:sz w:val="20"/>
        </w:rPr>
        <w:t xml:space="preserve">The Affirmative Action Plan and all related activities to achieve equal opportunities for job applicants and employees represent our commitment to this objective.  </w:t>
      </w:r>
      <w:r>
        <w:rPr>
          <w:b/>
          <w:i/>
          <w:sz w:val="20"/>
        </w:rPr>
        <w:t>Each member of the management team shares in the responsibility to implement this Plan and to achieve its objectives.</w:t>
      </w:r>
    </w:p>
    <w:p>
      <w:pPr>
        <w:pStyle w:val="Normal"/>
        <w:tabs>
          <w:tab w:val="left" w:pos="540" w:leader="none"/>
          <w:tab w:val="left" w:pos="900" w:leader="none"/>
        </w:tabs>
        <w:jc w:val="both"/>
        <w:rPr>
          <w:b/>
          <w:i/>
          <w:i/>
          <w:sz w:val="20"/>
        </w:rPr>
      </w:pPr>
      <w:r>
        <w:rPr>
          <w:b/>
          <w:i/>
          <w:sz w:val="20"/>
        </w:rPr>
      </w:r>
    </w:p>
    <w:p>
      <w:pPr>
        <w:pStyle w:val="Normal"/>
        <w:tabs>
          <w:tab w:val="left" w:pos="540" w:leader="none"/>
          <w:tab w:val="left" w:pos="900" w:leader="none"/>
        </w:tabs>
        <w:jc w:val="both"/>
        <w:rPr>
          <w:sz w:val="20"/>
        </w:rPr>
      </w:pPr>
      <w:r>
        <w:rPr>
          <w:sz w:val="20"/>
        </w:rPr>
        <w:t>If you have any questions please contact either your Human Resources Representative or a member of the AAP Reporting &amp; Audit department.</w:t>
      </w:r>
    </w:p>
    <w:p>
      <w:pPr>
        <w:pStyle w:val="Normal"/>
        <w:tabs>
          <w:tab w:val="left" w:pos="540" w:leader="none"/>
          <w:tab w:val="left" w:pos="900" w:leader="none"/>
        </w:tabs>
        <w:jc w:val="both"/>
        <w:rPr>
          <w:sz w:val="20"/>
        </w:rPr>
      </w:pPr>
      <w:r>
        <w:rPr>
          <w:sz w:val="20"/>
        </w:rPr>
      </w:r>
    </w:p>
    <w:p>
      <w:pPr>
        <w:pStyle w:val="Normal"/>
        <w:tabs>
          <w:tab w:val="left" w:pos="540" w:leader="none"/>
          <w:tab w:val="left" w:pos="900" w:leader="none"/>
        </w:tabs>
        <w:jc w:val="both"/>
        <w:rPr>
          <w:sz w:val="20"/>
        </w:rPr>
      </w:pPr>
      <w:r>
        <w:rPr>
          <w:sz w:val="20"/>
        </w:rPr>
        <w:t>Attachment</w:t>
      </w:r>
    </w:p>
    <w:p>
      <w:pPr>
        <w:pStyle w:val="Normal"/>
        <w:tabs>
          <w:tab w:val="left" w:pos="540" w:leader="none"/>
          <w:tab w:val="left" w:pos="900" w:leader="none"/>
        </w:tabs>
        <w:jc w:val="both"/>
        <w:rPr>
          <w:sz w:val="20"/>
        </w:rPr>
      </w:pPr>
      <w:r>
        <w:rPr>
          <w:sz w:val="20"/>
        </w:rPr>
        <w:t>Cc:</w:t>
        <w:tab/>
        <w:t>Felecia Acevedo</w:t>
      </w:r>
    </w:p>
    <w:p>
      <w:pPr>
        <w:pStyle w:val="Normal"/>
        <w:tabs>
          <w:tab w:val="left" w:pos="540" w:leader="none"/>
          <w:tab w:val="left" w:pos="900" w:leader="none"/>
        </w:tabs>
        <w:jc w:val="both"/>
        <w:rPr>
          <w:sz w:val="20"/>
        </w:rPr>
      </w:pPr>
      <w:r>
        <w:rPr>
          <w:sz w:val="20"/>
        </w:rPr>
        <w:tab/>
        <w:t>Dave Schafer</w:t>
      </w:r>
    </w:p>
    <w:p>
      <w:pPr>
        <w:pStyle w:val="Normal"/>
        <w:tabs>
          <w:tab w:val="left" w:pos="540" w:leader="none"/>
          <w:tab w:val="left" w:pos="900" w:leader="none"/>
        </w:tabs>
        <w:jc w:val="both"/>
        <w:rPr>
          <w:sz w:val="20"/>
        </w:rPr>
      </w:pPr>
      <w:r>
        <w:rPr>
          <w:sz w:val="20"/>
        </w:rPr>
        <w:tab/>
        <w:t>Brian Schaffer</w:t>
      </w:r>
    </w:p>
    <w:p>
      <w:pPr>
        <w:pStyle w:val="Normal"/>
        <w:tabs>
          <w:tab w:val="left" w:pos="540" w:leader="none"/>
          <w:tab w:val="left" w:pos="900" w:leader="none"/>
        </w:tabs>
        <w:jc w:val="both"/>
        <w:rPr>
          <w:sz w:val="12"/>
        </w:rPr>
      </w:pPr>
      <w:r>
        <w:rPr>
          <w:sz w:val="12"/>
        </w:rPr>
        <w:t>\aap2000\mon1100.doc</w:t>
      </w:r>
    </w:p>
    <w:p>
      <w:pPr>
        <w:pStyle w:val="Body"/>
        <w:ind w:end="1268"/>
        <w:rPr>
          <w:sz w:val="22"/>
        </w:rPr>
      </w:pPr>
      <w:r>
        <w:rPr>
          <w:sz w:val="22"/>
        </w:rPr>
      </w:r>
    </w:p>
    <w:sectPr>
      <w:headerReference w:type="default" r:id="rId3"/>
      <w:headerReference w:type="first" r:id="rId4"/>
      <w:footerReference w:type="default" r:id="rId5"/>
      <w:footerReference w:type="first" r:id="rId6"/>
      <w:type w:val="nextPage"/>
      <w:pgSz w:w="12240" w:h="15840"/>
      <w:pgMar w:left="1526" w:right="806" w:gutter="0" w:header="1008" w:top="1064" w:footer="36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9810" w:leader="none"/>
        <w:tab w:val="right" w:pos="10800" w:leader="none"/>
      </w:tabs>
      <w:rPr>
        <w:sz w:val="12"/>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5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Bfsmemo3</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2000-11-27T17:22:00Z</dcterms:created>
  <dc:creator>Anna Docwra</dc:creator>
  <dc:description/>
  <dc:language>en-CA</dc:language>
  <cp:lastModifiedBy>slighth</cp:lastModifiedBy>
  <cp:lastPrinted>2000-08-29T13:26:00Z</cp:lastPrinted>
  <dcterms:modified xsi:type="dcterms:W3CDTF">2000-11-27T17:22:00Z</dcterms:modified>
  <cp:revision>2</cp:revision>
  <dc:subject>The Subject of the Memo</dc:subject>
  <dc:title>Better, Faster, Simpler Memo </dc:title>
</cp:coreProperties>
</file>