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0096" w:type="dxa"/>
        <w:jc w:val="start"/>
        <w:tblInd w:w="-52" w:type="dxa"/>
        <w:tblLayout w:type="fixed"/>
        <w:tblCellMar>
          <w:top w:w="0" w:type="dxa"/>
          <w:start w:w="108" w:type="dxa"/>
          <w:bottom w:w="0" w:type="dxa"/>
          <w:end w:w="108" w:type="dxa"/>
        </w:tblCellMar>
      </w:tblPr>
      <w:tblGrid>
        <w:gridCol w:w="1712"/>
        <w:gridCol w:w="8384"/>
      </w:tblGrid>
      <w:tr>
        <w:trPr>
          <w:trHeight w:val="882" w:hRule="atLeast"/>
        </w:trPr>
        <w:tc>
          <w:tcPr>
            <w:tcW w:w="1712" w:type="dxa"/>
            <w:tcBorders/>
          </w:tcPr>
          <w:p>
            <w:pPr>
              <w:pStyle w:val="Heading8"/>
              <w:rPr>
                <w:b w:val="false"/>
                <w:color w:val="000000"/>
              </w:rPr>
            </w:pPr>
            <w:r>
              <w:rPr>
                <w:color w:val="000000"/>
                <w:u w:val="none"/>
              </w:rPr>
              <w:t>Objective</w:t>
            </w:r>
          </w:p>
        </w:tc>
        <w:tc>
          <w:tcPr>
            <w:tcW w:w="8384" w:type="dxa"/>
            <w:tcBorders/>
          </w:tcPr>
          <w:p>
            <w:pPr>
              <w:pStyle w:val="Subtitle"/>
              <w:jc w:val="start"/>
              <w:rPr>
                <w:b w:val="false"/>
                <w:sz w:val="28"/>
              </w:rPr>
            </w:pPr>
            <w:r>
              <w:rPr>
                <w:b w:val="false"/>
                <w:sz w:val="28"/>
              </w:rPr>
              <w:t>A trading position where knowledge, skills and abilities in global markets, negotiation, leadership, and seasoned judgment will contribute to the company’s growth and profitability targets.</w:t>
            </w:r>
          </w:p>
          <w:p>
            <w:pPr>
              <w:pStyle w:val="Subtitle"/>
              <w:jc w:val="start"/>
              <w:rPr>
                <w:b w:val="false"/>
                <w:sz w:val="28"/>
              </w:rPr>
            </w:pPr>
            <w:r>
              <w:rPr>
                <w:b w:val="false"/>
                <w:sz w:val="28"/>
              </w:rPr>
            </w:r>
          </w:p>
        </w:tc>
      </w:tr>
    </w:tbl>
    <w:p>
      <w:pPr>
        <w:pStyle w:val="Subtitle"/>
        <w:rPr>
          <w:sz w:val="28"/>
        </w:rPr>
      </w:pPr>
      <w:r>
        <w:rPr>
          <w:sz w:val="28"/>
        </w:rPr>
        <w:t>Areas of Effectiveness</w:t>
      </w:r>
    </w:p>
    <w:p>
      <w:pPr>
        <w:pStyle w:val="Subtitle"/>
        <w:rPr>
          <w:sz w:val="28"/>
        </w:rPr>
      </w:pPr>
      <w:r>
        <w:rPr>
          <w:sz w:val="28"/>
        </w:rPr>
      </w:r>
    </w:p>
    <w:tbl>
      <w:tblPr>
        <w:tblW w:w="10080" w:type="dxa"/>
        <w:jc w:val="start"/>
        <w:tblInd w:w="-72" w:type="dxa"/>
        <w:tblLayout w:type="fixed"/>
        <w:tblCellMar>
          <w:top w:w="0" w:type="dxa"/>
          <w:start w:w="108" w:type="dxa"/>
          <w:bottom w:w="0" w:type="dxa"/>
          <w:end w:w="108" w:type="dxa"/>
        </w:tblCellMar>
      </w:tblPr>
      <w:tblGrid>
        <w:gridCol w:w="2160"/>
        <w:gridCol w:w="7920"/>
      </w:tblGrid>
      <w:tr>
        <w:trPr>
          <w:trHeight w:val="909" w:hRule="atLeast"/>
        </w:trPr>
        <w:tc>
          <w:tcPr>
            <w:tcW w:w="2160" w:type="dxa"/>
            <w:tcBorders/>
          </w:tcPr>
          <w:p>
            <w:pPr>
              <w:pStyle w:val="Subtitle"/>
              <w:jc w:val="start"/>
              <w:rPr/>
            </w:pPr>
            <w:r>
              <w:rPr/>
              <w:t>Equity Portfolio Management</w:t>
            </w:r>
          </w:p>
        </w:tc>
        <w:tc>
          <w:tcPr>
            <w:tcW w:w="7920" w:type="dxa"/>
            <w:tcBorders/>
          </w:tcPr>
          <w:p>
            <w:pPr>
              <w:pStyle w:val="Heading1"/>
              <w:tabs>
                <w:tab w:val="clear" w:pos="0"/>
                <w:tab w:val="clear" w:pos="288"/>
                <w:tab w:val="clear" w:pos="576"/>
                <w:tab w:val="clear" w:pos="864"/>
                <w:tab w:val="clear" w:pos="1152"/>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ind w:hanging="0" w:start="0"/>
              <w:rPr>
                <w:rFonts w:ascii="Arial" w:hAnsi="Arial" w:cs="Arial"/>
                <w:b w:val="false"/>
                <w:sz w:val="22"/>
                <w:u w:val="none"/>
              </w:rPr>
            </w:pPr>
            <w:r>
              <w:rPr>
                <w:rFonts w:cs="Arial" w:ascii="Arial" w:hAnsi="Arial"/>
                <w:b w:val="false"/>
                <w:sz w:val="22"/>
                <w:u w:val="none"/>
              </w:rPr>
              <w:t>Visionary and strategist in restructuring worldwide pension investment program in 20+ countries, $4 billion total assets.  Negotiated and traded $1.0 billion in privately held equity positions, complying with SEC 144 rules, and lock-up agreements.</w:t>
            </w:r>
          </w:p>
          <w:p>
            <w:pPr>
              <w:pStyle w:val="Normal"/>
              <w:rPr>
                <w:rFonts w:ascii="Arial" w:hAnsi="Arial" w:cs="Arial"/>
                <w:b/>
                <w:sz w:val="22"/>
                <w:u w:val="none"/>
              </w:rPr>
            </w:pPr>
            <w:r>
              <w:rPr>
                <w:rFonts w:cs="Arial"/>
                <w:b/>
                <w:sz w:val="22"/>
                <w:u w:val="none"/>
              </w:rPr>
            </w:r>
          </w:p>
        </w:tc>
      </w:tr>
      <w:tr>
        <w:trPr>
          <w:trHeight w:val="909" w:hRule="atLeast"/>
        </w:trPr>
        <w:tc>
          <w:tcPr>
            <w:tcW w:w="2160" w:type="dxa"/>
            <w:tcBorders/>
          </w:tcPr>
          <w:p>
            <w:pPr>
              <w:pStyle w:val="Subtitle"/>
              <w:jc w:val="start"/>
              <w:rPr/>
            </w:pPr>
            <w:r>
              <w:rPr/>
              <w:t xml:space="preserve">Foreign Exchange </w:t>
            </w:r>
          </w:p>
        </w:tc>
        <w:tc>
          <w:tcPr>
            <w:tcW w:w="7920" w:type="dxa"/>
            <w:tcBorders/>
          </w:tcPr>
          <w:p>
            <w:pPr>
              <w:pStyle w:val="Heading1"/>
              <w:tabs>
                <w:tab w:val="clear" w:pos="0"/>
                <w:tab w:val="clear" w:pos="288"/>
                <w:tab w:val="clear" w:pos="576"/>
                <w:tab w:val="clear" w:pos="864"/>
                <w:tab w:val="clear" w:pos="1152"/>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ind w:hanging="0" w:start="0"/>
              <w:rPr>
                <w:rFonts w:ascii="Arial" w:hAnsi="Arial" w:cs="Arial"/>
                <w:b w:val="false"/>
                <w:sz w:val="22"/>
                <w:u w:val="none"/>
              </w:rPr>
            </w:pPr>
            <w:r>
              <w:rPr>
                <w:rFonts w:cs="Arial" w:ascii="Arial" w:hAnsi="Arial"/>
                <w:b w:val="false"/>
                <w:sz w:val="22"/>
                <w:u w:val="none"/>
              </w:rPr>
              <w:t xml:space="preserve">Set strategic direction, and provided leadership in Fortune 25 corporate environments over ten years.  Traded spot, forward contracts, options; annual trading turnover exceeded $150 billion. </w:t>
            </w:r>
          </w:p>
          <w:p>
            <w:pPr>
              <w:pStyle w:val="Normal"/>
              <w:rPr>
                <w:rFonts w:ascii="Arial" w:hAnsi="Arial" w:cs="Arial"/>
                <w:b/>
                <w:sz w:val="22"/>
                <w:u w:val="none"/>
              </w:rPr>
            </w:pPr>
            <w:r>
              <w:rPr>
                <w:rFonts w:cs="Arial"/>
                <w:b/>
                <w:sz w:val="22"/>
                <w:u w:val="none"/>
              </w:rPr>
            </w:r>
          </w:p>
        </w:tc>
      </w:tr>
      <w:tr>
        <w:trPr>
          <w:trHeight w:val="711" w:hRule="atLeast"/>
        </w:trPr>
        <w:tc>
          <w:tcPr>
            <w:tcW w:w="2160" w:type="dxa"/>
            <w:tcBorders/>
          </w:tcPr>
          <w:p>
            <w:pPr>
              <w:pStyle w:val="Subtitle"/>
              <w:jc w:val="start"/>
              <w:rPr/>
            </w:pPr>
            <w:r>
              <w:rPr/>
              <w:t>Money Market</w:t>
            </w:r>
          </w:p>
        </w:tc>
        <w:tc>
          <w:tcPr>
            <w:tcW w:w="7920" w:type="dxa"/>
            <w:tcBorders/>
          </w:tcPr>
          <w:p>
            <w:pPr>
              <w:pStyle w:val="Heading1"/>
              <w:tabs>
                <w:tab w:val="clear" w:pos="0"/>
                <w:tab w:val="clear" w:pos="288"/>
                <w:tab w:val="clear" w:pos="576"/>
                <w:tab w:val="clear" w:pos="864"/>
                <w:tab w:val="clear" w:pos="1152"/>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ind w:hanging="0" w:start="0"/>
              <w:rPr>
                <w:rFonts w:ascii="Arial" w:hAnsi="Arial" w:cs="Arial"/>
                <w:b w:val="false"/>
                <w:sz w:val="22"/>
                <w:u w:val="none"/>
              </w:rPr>
            </w:pPr>
            <w:r>
              <w:rPr>
                <w:rFonts w:cs="Arial" w:ascii="Arial" w:hAnsi="Arial"/>
                <w:b w:val="false"/>
                <w:sz w:val="22"/>
                <w:u w:val="none"/>
              </w:rPr>
              <w:t>Established credit guidelines and earning objectives.  Negotiated, and managed cash portfolios exceeding $4.0 billion over ten years.</w:t>
            </w:r>
          </w:p>
          <w:p>
            <w:pPr>
              <w:pStyle w:val="Normal"/>
              <w:rPr>
                <w:rFonts w:ascii="Arial" w:hAnsi="Arial" w:cs="Arial"/>
                <w:b/>
                <w:sz w:val="22"/>
                <w:u w:val="none"/>
              </w:rPr>
            </w:pPr>
            <w:r>
              <w:rPr>
                <w:rFonts w:cs="Arial"/>
                <w:b/>
                <w:sz w:val="22"/>
                <w:u w:val="none"/>
              </w:rPr>
            </w:r>
          </w:p>
        </w:tc>
      </w:tr>
      <w:tr>
        <w:trPr>
          <w:trHeight w:val="909" w:hRule="atLeast"/>
        </w:trPr>
        <w:tc>
          <w:tcPr>
            <w:tcW w:w="2160" w:type="dxa"/>
            <w:tcBorders/>
          </w:tcPr>
          <w:p>
            <w:pPr>
              <w:pStyle w:val="Subtitle"/>
              <w:jc w:val="start"/>
              <w:rPr/>
            </w:pPr>
            <w:r>
              <w:rPr/>
              <w:t>Foreign Investment</w:t>
            </w:r>
          </w:p>
        </w:tc>
        <w:tc>
          <w:tcPr>
            <w:tcW w:w="7920" w:type="dxa"/>
            <w:tcBorders/>
          </w:tcPr>
          <w:p>
            <w:pPr>
              <w:pStyle w:val="Subtitle"/>
              <w:jc w:val="start"/>
              <w:rPr>
                <w:b w:val="false"/>
                <w:sz w:val="22"/>
              </w:rPr>
            </w:pPr>
            <w:r>
              <w:rPr>
                <w:b w:val="false"/>
                <w:sz w:val="22"/>
              </w:rPr>
              <w:t>Envisioned, planned and executed $4 billion annual foreign currency collection and investment operation in 11 countries.  Used common collection systems technology to net requirements, and centralize control in Detroit area.</w:t>
            </w:r>
          </w:p>
          <w:p>
            <w:pPr>
              <w:pStyle w:val="Subtitle"/>
              <w:jc w:val="start"/>
              <w:rPr>
                <w:b w:val="false"/>
                <w:sz w:val="22"/>
              </w:rPr>
            </w:pPr>
            <w:r>
              <w:rPr>
                <w:b w:val="false"/>
                <w:sz w:val="22"/>
              </w:rPr>
            </w:r>
          </w:p>
        </w:tc>
      </w:tr>
      <w:tr>
        <w:trPr>
          <w:trHeight w:val="981" w:hRule="atLeast"/>
        </w:trPr>
        <w:tc>
          <w:tcPr>
            <w:tcW w:w="2160" w:type="dxa"/>
            <w:tcBorders/>
          </w:tcPr>
          <w:p>
            <w:pPr>
              <w:pStyle w:val="Subtitle"/>
              <w:jc w:val="start"/>
              <w:rPr/>
            </w:pPr>
            <w:r>
              <w:rPr/>
              <w:t xml:space="preserve">Treasury Securities </w:t>
            </w:r>
          </w:p>
        </w:tc>
        <w:tc>
          <w:tcPr>
            <w:tcW w:w="7920" w:type="dxa"/>
            <w:tcBorders/>
          </w:tcPr>
          <w:p>
            <w:pPr>
              <w:pStyle w:val="Heading1"/>
              <w:tabs>
                <w:tab w:val="clear" w:pos="0"/>
                <w:tab w:val="clear" w:pos="288"/>
                <w:tab w:val="clear" w:pos="576"/>
                <w:tab w:val="clear" w:pos="864"/>
                <w:tab w:val="clear" w:pos="1152"/>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ind w:hanging="0" w:start="0"/>
              <w:rPr>
                <w:rFonts w:ascii="Arial" w:hAnsi="Arial" w:cs="Arial"/>
                <w:b w:val="false"/>
                <w:sz w:val="22"/>
                <w:u w:val="none"/>
              </w:rPr>
            </w:pPr>
            <w:r>
              <w:rPr>
                <w:rFonts w:cs="Arial" w:ascii="Arial" w:hAnsi="Arial"/>
                <w:b w:val="false"/>
                <w:sz w:val="22"/>
                <w:u w:val="none"/>
              </w:rPr>
              <w:t>Traded US Government Treasury securities 3-month bills to 5-year notes.  Utilized technical analysis, and fundamental analysis extensively, generated capital gains of $15.0 million in one-year period.</w:t>
            </w:r>
          </w:p>
          <w:p>
            <w:pPr>
              <w:pStyle w:val="Normal"/>
              <w:rPr>
                <w:rFonts w:ascii="Arial" w:hAnsi="Arial" w:cs="Arial"/>
                <w:b/>
                <w:sz w:val="22"/>
                <w:u w:val="none"/>
              </w:rPr>
            </w:pPr>
            <w:r>
              <w:rPr>
                <w:rFonts w:cs="Arial"/>
                <w:b/>
                <w:sz w:val="22"/>
                <w:u w:val="none"/>
              </w:rPr>
            </w:r>
          </w:p>
        </w:tc>
      </w:tr>
      <w:tr>
        <w:trPr>
          <w:trHeight w:val="711" w:hRule="atLeast"/>
        </w:trPr>
        <w:tc>
          <w:tcPr>
            <w:tcW w:w="2160" w:type="dxa"/>
            <w:tcBorders/>
          </w:tcPr>
          <w:p>
            <w:pPr>
              <w:pStyle w:val="Subtitle"/>
              <w:jc w:val="start"/>
              <w:rPr/>
            </w:pPr>
            <w:r>
              <w:rPr/>
              <w:t>Corporate Bonds</w:t>
            </w:r>
          </w:p>
        </w:tc>
        <w:tc>
          <w:tcPr>
            <w:tcW w:w="7920" w:type="dxa"/>
            <w:tcBorders/>
          </w:tcPr>
          <w:p>
            <w:pPr>
              <w:pStyle w:val="Heading1"/>
              <w:tabs>
                <w:tab w:val="clear" w:pos="0"/>
                <w:tab w:val="clear" w:pos="288"/>
                <w:tab w:val="clear" w:pos="576"/>
                <w:tab w:val="clear" w:pos="864"/>
                <w:tab w:val="clear" w:pos="1152"/>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ind w:hanging="0" w:start="0"/>
              <w:rPr>
                <w:rFonts w:ascii="Arial" w:hAnsi="Arial" w:cs="Arial"/>
                <w:b w:val="false"/>
                <w:sz w:val="22"/>
                <w:u w:val="none"/>
              </w:rPr>
            </w:pPr>
            <w:r>
              <w:rPr>
                <w:rFonts w:cs="Arial" w:ascii="Arial" w:hAnsi="Arial"/>
                <w:b w:val="false"/>
                <w:sz w:val="22"/>
                <w:u w:val="none"/>
              </w:rPr>
              <w:t>Developed strategies and executed trades for $300 million corporate bond portfolio.  Utilized credit spread analysis and yields to generate superior returns.</w:t>
            </w:r>
          </w:p>
          <w:p>
            <w:pPr>
              <w:pStyle w:val="Normal"/>
              <w:rPr>
                <w:rFonts w:ascii="Arial" w:hAnsi="Arial" w:cs="Arial"/>
                <w:b/>
                <w:sz w:val="22"/>
                <w:u w:val="none"/>
              </w:rPr>
            </w:pPr>
            <w:r>
              <w:rPr>
                <w:rFonts w:cs="Arial"/>
                <w:b/>
                <w:sz w:val="22"/>
                <w:u w:val="none"/>
              </w:rPr>
            </w:r>
          </w:p>
        </w:tc>
      </w:tr>
      <w:tr>
        <w:trPr>
          <w:trHeight w:val="711" w:hRule="atLeast"/>
        </w:trPr>
        <w:tc>
          <w:tcPr>
            <w:tcW w:w="2160" w:type="dxa"/>
            <w:tcBorders/>
          </w:tcPr>
          <w:p>
            <w:pPr>
              <w:pStyle w:val="Subtitle"/>
              <w:jc w:val="start"/>
              <w:rPr/>
            </w:pPr>
            <w:r>
              <w:rPr/>
              <w:t>Commodity Trading</w:t>
            </w:r>
          </w:p>
        </w:tc>
        <w:tc>
          <w:tcPr>
            <w:tcW w:w="7920" w:type="dxa"/>
            <w:tcBorders/>
          </w:tcPr>
          <w:p>
            <w:pPr>
              <w:pStyle w:val="Heading1"/>
              <w:tabs>
                <w:tab w:val="clear" w:pos="0"/>
                <w:tab w:val="clear" w:pos="288"/>
                <w:tab w:val="clear" w:pos="576"/>
                <w:tab w:val="clear" w:pos="864"/>
                <w:tab w:val="clear" w:pos="1152"/>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ind w:hanging="0" w:start="0"/>
              <w:rPr>
                <w:rFonts w:ascii="Arial" w:hAnsi="Arial" w:cs="Arial"/>
                <w:b w:val="false"/>
                <w:sz w:val="22"/>
                <w:u w:val="none"/>
              </w:rPr>
            </w:pPr>
            <w:r>
              <w:rPr>
                <w:rFonts w:cs="Arial" w:ascii="Arial" w:hAnsi="Arial"/>
                <w:b w:val="false"/>
                <w:sz w:val="22"/>
                <w:u w:val="none"/>
              </w:rPr>
              <w:t>Traded precious metals including, Gold, Platinum, Rhodium, and Nickel.</w:t>
            </w:r>
          </w:p>
        </w:tc>
      </w:tr>
      <w:tr>
        <w:trPr>
          <w:trHeight w:val="1494" w:hRule="atLeast"/>
        </w:trPr>
        <w:tc>
          <w:tcPr>
            <w:tcW w:w="2160" w:type="dxa"/>
            <w:tcBorders/>
          </w:tcPr>
          <w:p>
            <w:pPr>
              <w:pStyle w:val="Subtitle"/>
              <w:jc w:val="start"/>
              <w:rPr>
                <w:sz w:val="28"/>
              </w:rPr>
            </w:pPr>
            <w:r>
              <w:rPr/>
              <w:t>Accounting</w:t>
            </w:r>
          </w:p>
        </w:tc>
        <w:tc>
          <w:tcPr>
            <w:tcW w:w="7920" w:type="dxa"/>
            <w:tcBorders/>
          </w:tcPr>
          <w:p>
            <w:pPr>
              <w:pStyle w:val="Heading1"/>
              <w:tabs>
                <w:tab w:val="clear" w:pos="0"/>
                <w:tab w:val="clear" w:pos="288"/>
                <w:tab w:val="clear" w:pos="576"/>
                <w:tab w:val="clear" w:pos="864"/>
                <w:tab w:val="clear" w:pos="1152"/>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ind w:hanging="0" w:start="0"/>
              <w:rPr>
                <w:rFonts w:ascii="Arial" w:hAnsi="Arial" w:cs="Arial"/>
                <w:b w:val="false"/>
                <w:sz w:val="22"/>
                <w:u w:val="none"/>
              </w:rPr>
            </w:pPr>
            <w:r>
              <w:rPr>
                <w:rFonts w:cs="Arial" w:ascii="Arial" w:hAnsi="Arial"/>
                <w:b w:val="false"/>
                <w:sz w:val="22"/>
                <w:u w:val="none"/>
              </w:rPr>
              <w:t>Possess detailed knowledge, and practical working applications of GAAP.  Particular expertise in FASB 52, 80, 87, 88, 95, 98, 105, 106, 115, 132, 133, and 138.  Wrote SEC disclosures, and handled reporting requirements for Value at Risk, Off Balance Sheet Risk, Derivatives, and portions of the Management Discussion and Analysis sections.</w:t>
            </w:r>
          </w:p>
          <w:p>
            <w:pPr>
              <w:pStyle w:val="Normal"/>
              <w:rPr>
                <w:rFonts w:ascii="Arial" w:hAnsi="Arial" w:cs="Arial"/>
                <w:b/>
                <w:sz w:val="22"/>
                <w:u w:val="none"/>
              </w:rPr>
            </w:pPr>
            <w:r>
              <w:rPr>
                <w:rFonts w:cs="Arial"/>
                <w:b/>
                <w:sz w:val="22"/>
                <w:u w:val="none"/>
              </w:rPr>
            </w:r>
          </w:p>
        </w:tc>
      </w:tr>
      <w:tr>
        <w:trPr>
          <w:trHeight w:val="1188" w:hRule="atLeast"/>
        </w:trPr>
        <w:tc>
          <w:tcPr>
            <w:tcW w:w="2160" w:type="dxa"/>
            <w:tcBorders/>
          </w:tcPr>
          <w:p>
            <w:pPr>
              <w:pStyle w:val="Subtitle"/>
              <w:jc w:val="start"/>
              <w:rPr/>
            </w:pPr>
            <w:r>
              <w:rPr/>
              <w:t>Planning &amp; Organization</w:t>
            </w:r>
          </w:p>
        </w:tc>
        <w:tc>
          <w:tcPr>
            <w:tcW w:w="7920" w:type="dxa"/>
            <w:tcBorders/>
          </w:tcPr>
          <w:p>
            <w:pPr>
              <w:pStyle w:val="Heading1"/>
              <w:tabs>
                <w:tab w:val="clear" w:pos="0"/>
                <w:tab w:val="clear" w:pos="288"/>
                <w:tab w:val="clear" w:pos="576"/>
                <w:tab w:val="clear" w:pos="864"/>
                <w:tab w:val="clear" w:pos="1152"/>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ind w:hanging="0" w:start="0"/>
              <w:rPr/>
            </w:pPr>
            <w:r>
              <w:rPr>
                <w:rFonts w:cs="Arial" w:ascii="Arial" w:hAnsi="Arial"/>
                <w:b w:val="false"/>
                <w:sz w:val="22"/>
                <w:u w:val="none"/>
              </w:rPr>
              <w:t>Designed and constructed a new trading facility</w:t>
            </w:r>
            <w:r>
              <w:rPr>
                <w:b w:val="false"/>
                <w:sz w:val="22"/>
                <w:u w:val="none"/>
              </w:rPr>
              <w:t xml:space="preserve">.  </w:t>
            </w:r>
            <w:r>
              <w:rPr>
                <w:rFonts w:cs="Arial" w:ascii="Arial" w:hAnsi="Arial"/>
                <w:b w:val="false"/>
                <w:sz w:val="22"/>
                <w:u w:val="none"/>
              </w:rPr>
              <w:t>Planned and re-organized trading activities involving over $200 billion in foreign exchange transactions, money market, and capital markets.  Project leader, corporate wide cross-functional team implementing changes to SAP.</w:t>
            </w:r>
          </w:p>
          <w:p>
            <w:pPr>
              <w:pStyle w:val="Normal"/>
              <w:rPr>
                <w:rFonts w:ascii="Arial" w:hAnsi="Arial" w:cs="Arial"/>
                <w:b/>
                <w:sz w:val="22"/>
                <w:u w:val="none"/>
              </w:rPr>
            </w:pPr>
            <w:r>
              <w:rPr>
                <w:rFonts w:cs="Arial"/>
                <w:b/>
                <w:sz w:val="22"/>
                <w:u w:val="none"/>
              </w:rPr>
            </w:r>
          </w:p>
        </w:tc>
      </w:tr>
      <w:tr>
        <w:trPr>
          <w:trHeight w:val="819" w:hRule="atLeast"/>
        </w:trPr>
        <w:tc>
          <w:tcPr>
            <w:tcW w:w="2160" w:type="dxa"/>
            <w:tcBorders/>
          </w:tcPr>
          <w:p>
            <w:pPr>
              <w:pStyle w:val="Subtitle"/>
              <w:jc w:val="start"/>
              <w:rPr/>
            </w:pPr>
            <w:r>
              <w:rPr/>
              <w:t>Leadership</w:t>
            </w:r>
          </w:p>
        </w:tc>
        <w:tc>
          <w:tcPr>
            <w:tcW w:w="7920" w:type="dxa"/>
            <w:tcBorders/>
          </w:tcPr>
          <w:p>
            <w:pPr>
              <w:pStyle w:val="Heading1"/>
              <w:tabs>
                <w:tab w:val="clear" w:pos="0"/>
                <w:tab w:val="clear" w:pos="288"/>
                <w:tab w:val="clear" w:pos="576"/>
                <w:tab w:val="clear" w:pos="864"/>
                <w:tab w:val="clear" w:pos="1152"/>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ind w:hanging="0" w:start="0"/>
              <w:rPr>
                <w:rFonts w:ascii="Arial" w:hAnsi="Arial" w:cs="Arial"/>
                <w:b w:val="false"/>
                <w:sz w:val="22"/>
                <w:u w:val="none"/>
              </w:rPr>
            </w:pPr>
            <w:r>
              <w:rPr>
                <w:rFonts w:cs="Arial" w:ascii="Arial" w:hAnsi="Arial"/>
                <w:b w:val="false"/>
                <w:sz w:val="22"/>
                <w:u w:val="none"/>
              </w:rPr>
              <w:t>Attracted and developed talent, demonstrated coaching abilities, building trust, inspiring commitment to the organization, and team.</w:t>
            </w:r>
          </w:p>
          <w:p>
            <w:pPr>
              <w:pStyle w:val="Heading1"/>
              <w:tabs>
                <w:tab w:val="clear" w:pos="0"/>
                <w:tab w:val="clear" w:pos="288"/>
                <w:tab w:val="clear" w:pos="576"/>
                <w:tab w:val="clear" w:pos="864"/>
                <w:tab w:val="clear" w:pos="1152"/>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ind w:hanging="0" w:start="0"/>
              <w:rPr>
                <w:rFonts w:ascii="Arial" w:hAnsi="Arial" w:cs="Arial"/>
                <w:b w:val="false"/>
                <w:sz w:val="22"/>
                <w:u w:val="none"/>
              </w:rPr>
            </w:pPr>
            <w:r>
              <w:rPr>
                <w:rFonts w:cs="Arial" w:ascii="Arial" w:hAnsi="Arial"/>
                <w:b w:val="false"/>
                <w:sz w:val="22"/>
                <w:u w:val="none"/>
              </w:rPr>
            </w:r>
          </w:p>
        </w:tc>
      </w:tr>
    </w:tbl>
    <w:p>
      <w:pPr>
        <w:pStyle w:val="Subtitle"/>
        <w:rPr>
          <w:sz w:val="28"/>
        </w:rPr>
      </w:pPr>
      <w:r>
        <w:rPr>
          <w:sz w:val="28"/>
        </w:rPr>
      </w:r>
      <w:r>
        <w:br w:type="page"/>
      </w:r>
    </w:p>
    <w:p>
      <w:pPr>
        <w:pStyle w:val="Subtitle"/>
        <w:rPr>
          <w:sz w:val="28"/>
        </w:rPr>
      </w:pPr>
      <w:r>
        <w:rPr>
          <w:sz w:val="28"/>
        </w:rPr>
      </w:r>
    </w:p>
    <w:tbl>
      <w:tblPr>
        <w:tblW w:w="10080" w:type="dxa"/>
        <w:jc w:val="start"/>
        <w:tblInd w:w="-72" w:type="dxa"/>
        <w:tblLayout w:type="fixed"/>
        <w:tblCellMar>
          <w:top w:w="0" w:type="dxa"/>
          <w:start w:w="108" w:type="dxa"/>
          <w:bottom w:w="0" w:type="dxa"/>
          <w:end w:w="108" w:type="dxa"/>
        </w:tblCellMar>
      </w:tblPr>
      <w:tblGrid>
        <w:gridCol w:w="1980"/>
        <w:gridCol w:w="8100"/>
      </w:tblGrid>
      <w:tr>
        <w:trPr>
          <w:trHeight w:val="4320" w:hRule="atLeast"/>
        </w:trPr>
        <w:tc>
          <w:tcPr>
            <w:tcW w:w="1980" w:type="dxa"/>
            <w:tcBorders/>
          </w:tcPr>
          <w:p>
            <w:pPr>
              <w:pStyle w:val="Subtitle"/>
              <w:jc w:val="start"/>
              <w:rPr/>
            </w:pPr>
            <w:r>
              <w:rPr/>
              <w:t>Work History</w:t>
            </w:r>
          </w:p>
        </w:tc>
        <w:tc>
          <w:tcPr>
            <w:tcW w:w="8100" w:type="dxa"/>
            <w:tcBorders/>
          </w:tcPr>
          <w:p>
            <w:pPr>
              <w:pStyle w:val="Subtitle"/>
              <w:jc w:val="start"/>
              <w:rPr/>
            </w:pPr>
            <w:r>
              <w:rPr/>
              <w:t>Compaq Computer Corporation</w:t>
            </w:r>
            <w:r>
              <w:rPr>
                <w:b w:val="false"/>
                <w:bCs/>
              </w:rPr>
              <w:t>, Houston, Texas, 1995 – Present</w:t>
            </w:r>
            <w:r>
              <w:rPr/>
              <w:t xml:space="preserve"> Assistant Treasurer</w:t>
            </w:r>
          </w:p>
          <w:p>
            <w:pPr>
              <w:pStyle w:val="Subtitle"/>
              <w:jc w:val="start"/>
              <w:rPr/>
            </w:pPr>
            <w:r>
              <w:rPr/>
              <w:t>Director of Foreign Exchange and Investments</w:t>
            </w:r>
          </w:p>
          <w:p>
            <w:pPr>
              <w:pStyle w:val="Subtitle"/>
              <w:jc w:val="start"/>
              <w:rPr/>
            </w:pPr>
            <w:r>
              <w:rPr/>
              <w:t>Director of Foreign Exchange</w:t>
            </w:r>
          </w:p>
          <w:p>
            <w:pPr>
              <w:pStyle w:val="Subtitle"/>
              <w:jc w:val="start"/>
              <w:rPr/>
            </w:pPr>
            <w:r>
              <w:rPr/>
            </w:r>
          </w:p>
          <w:p>
            <w:pPr>
              <w:pStyle w:val="Subtitle"/>
              <w:rPr/>
            </w:pPr>
            <w:r>
              <w:rPr/>
              <w:t>Highlights</w:t>
            </w:r>
          </w:p>
          <w:p>
            <w:pPr>
              <w:pStyle w:val="Subtitle"/>
              <w:rPr/>
            </w:pPr>
            <w:r>
              <w:rPr/>
            </w:r>
          </w:p>
          <w:p>
            <w:pPr>
              <w:pStyle w:val="1AutoList1"/>
              <w:tabs>
                <w:tab w:val="clear" w:pos="720"/>
              </w:tabs>
              <w:ind w:hanging="0" w:start="0" w:end="0"/>
              <w:jc w:val="start"/>
              <w:rPr>
                <w:rFonts w:ascii="Arial" w:hAnsi="Arial" w:cs="Arial"/>
                <w:sz w:val="22"/>
              </w:rPr>
            </w:pPr>
            <w:r>
              <w:rPr>
                <w:rFonts w:cs="Arial" w:ascii="Arial" w:hAnsi="Arial"/>
                <w:sz w:val="22"/>
              </w:rPr>
              <w:t xml:space="preserve">Managed 4 full time currency traders, equity trader, capital markets trader, and money market trader. $200 billion annual trading volume. </w:t>
            </w:r>
          </w:p>
          <w:p>
            <w:pPr>
              <w:pStyle w:val="1AutoList1"/>
              <w:tabs>
                <w:tab w:val="clear" w:pos="720"/>
              </w:tabs>
              <w:ind w:hanging="0" w:start="0" w:end="0"/>
              <w:jc w:val="start"/>
              <w:rPr>
                <w:rFonts w:ascii="Arial" w:hAnsi="Arial" w:cs="Arial"/>
                <w:sz w:val="22"/>
              </w:rPr>
            </w:pPr>
            <w:r>
              <w:rPr>
                <w:rFonts w:cs="Arial" w:ascii="Arial" w:hAnsi="Arial"/>
                <w:sz w:val="22"/>
              </w:rPr>
            </w:r>
          </w:p>
          <w:p>
            <w:pPr>
              <w:pStyle w:val="Normal"/>
              <w:rPr>
                <w:sz w:val="22"/>
              </w:rPr>
            </w:pPr>
            <w:r>
              <w:rPr>
                <w:sz w:val="22"/>
              </w:rPr>
              <w:t xml:space="preserve">Reduced P&amp;L cost of global foreign exchange risks by an average 140%. </w:t>
            </w:r>
          </w:p>
          <w:p>
            <w:pPr>
              <w:pStyle w:val="Normal"/>
              <w:rPr>
                <w:sz w:val="22"/>
              </w:rPr>
            </w:pPr>
            <w:r>
              <w:rPr>
                <w:sz w:val="22"/>
              </w:rPr>
            </w:r>
          </w:p>
          <w:p>
            <w:pPr>
              <w:pStyle w:val="1AutoList1"/>
              <w:tabs>
                <w:tab w:val="clear" w:pos="720"/>
              </w:tabs>
              <w:ind w:hanging="0" w:start="0" w:end="0"/>
              <w:jc w:val="start"/>
              <w:rPr>
                <w:rFonts w:ascii="Arial" w:hAnsi="Arial" w:cs="Arial"/>
                <w:sz w:val="22"/>
              </w:rPr>
            </w:pPr>
            <w:r>
              <w:rPr>
                <w:rFonts w:cs="Arial" w:ascii="Arial" w:hAnsi="Arial"/>
                <w:sz w:val="22"/>
              </w:rPr>
              <w:t>$1.0 billion bond tenders and stock buy backs</w:t>
            </w:r>
          </w:p>
          <w:p>
            <w:pPr>
              <w:pStyle w:val="1AutoList1"/>
              <w:tabs>
                <w:tab w:val="clear" w:pos="720"/>
              </w:tabs>
              <w:ind w:hanging="0" w:start="0" w:end="0"/>
              <w:jc w:val="start"/>
              <w:rPr>
                <w:rFonts w:ascii="Arial" w:hAnsi="Arial" w:cs="Arial"/>
                <w:sz w:val="22"/>
              </w:rPr>
            </w:pPr>
            <w:r>
              <w:rPr>
                <w:rFonts w:cs="Arial" w:ascii="Arial" w:hAnsi="Arial"/>
                <w:sz w:val="22"/>
              </w:rPr>
            </w:r>
          </w:p>
          <w:p>
            <w:pPr>
              <w:pStyle w:val="1AutoList1"/>
              <w:tabs>
                <w:tab w:val="clear" w:pos="720"/>
              </w:tabs>
              <w:ind w:hanging="0" w:start="0" w:end="0"/>
              <w:jc w:val="start"/>
              <w:rPr>
                <w:rFonts w:ascii="Arial" w:hAnsi="Arial" w:cs="Arial"/>
                <w:sz w:val="22"/>
              </w:rPr>
            </w:pPr>
            <w:r>
              <w:rPr>
                <w:rFonts w:cs="Arial" w:ascii="Arial" w:hAnsi="Arial"/>
                <w:sz w:val="22"/>
              </w:rPr>
              <w:t xml:space="preserve">Planned and executed, $2.0 billion capital market funding strategy, and interest rate risk management. </w:t>
            </w:r>
          </w:p>
          <w:p>
            <w:pPr>
              <w:pStyle w:val="Subtitle"/>
              <w:jc w:val="start"/>
              <w:rPr>
                <w:rFonts w:ascii="Arial" w:hAnsi="Arial" w:cs="Arial"/>
                <w:sz w:val="22"/>
              </w:rPr>
            </w:pPr>
            <w:r>
              <w:rPr>
                <w:rFonts w:cs="Arial"/>
                <w:sz w:val="22"/>
              </w:rPr>
            </w:r>
          </w:p>
        </w:tc>
      </w:tr>
      <w:tr>
        <w:trPr>
          <w:trHeight w:val="3969" w:hRule="atLeast"/>
        </w:trPr>
        <w:tc>
          <w:tcPr>
            <w:tcW w:w="1980" w:type="dxa"/>
            <w:tcBorders/>
          </w:tcPr>
          <w:p>
            <w:pPr>
              <w:pStyle w:val="Subtitle"/>
              <w:jc w:val="start"/>
              <w:rPr/>
            </w:pPr>
            <w:r>
              <w:rPr/>
              <w:t>Work History</w:t>
            </w:r>
          </w:p>
        </w:tc>
        <w:tc>
          <w:tcPr>
            <w:tcW w:w="8100" w:type="dxa"/>
            <w:tcBorders/>
          </w:tcPr>
          <w:p>
            <w:pPr>
              <w:pStyle w:val="Subtitle"/>
              <w:jc w:val="start"/>
              <w:rPr/>
            </w:pPr>
            <w:r>
              <w:rPr/>
              <w:t>Chrysler Corporation, Detroit, MI 1988-1995</w:t>
            </w:r>
          </w:p>
          <w:p>
            <w:pPr>
              <w:pStyle w:val="Subtitle"/>
              <w:jc w:val="start"/>
              <w:rPr/>
            </w:pPr>
            <w:r>
              <w:rPr/>
              <w:t>Senior Foreign Exchange Trader 1992-1995</w:t>
            </w:r>
          </w:p>
          <w:p>
            <w:pPr>
              <w:pStyle w:val="Subtitle"/>
              <w:jc w:val="start"/>
              <w:rPr/>
            </w:pPr>
            <w:r>
              <w:rPr/>
              <w:t>Portfolio Manager 1988-1992</w:t>
            </w:r>
          </w:p>
          <w:p>
            <w:pPr>
              <w:pStyle w:val="Subtitle"/>
              <w:jc w:val="start"/>
              <w:rPr/>
            </w:pPr>
            <w:r>
              <w:rPr/>
            </w:r>
          </w:p>
          <w:p>
            <w:pPr>
              <w:pStyle w:val="Heading1"/>
              <w:tabs>
                <w:tab w:val="clear" w:pos="0"/>
                <w:tab w:val="clear" w:pos="288"/>
                <w:tab w:val="clear" w:pos="576"/>
                <w:tab w:val="clear" w:pos="864"/>
                <w:tab w:val="clear" w:pos="1152"/>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ind w:hanging="0" w:start="0"/>
              <w:jc w:val="center"/>
              <w:rPr>
                <w:rFonts w:ascii="Arial" w:hAnsi="Arial" w:cs="Arial"/>
                <w:sz w:val="24"/>
                <w:u w:val="none"/>
              </w:rPr>
            </w:pPr>
            <w:r>
              <w:rPr>
                <w:rFonts w:cs="Arial" w:ascii="Arial" w:hAnsi="Arial"/>
                <w:sz w:val="24"/>
                <w:u w:val="none"/>
              </w:rPr>
              <w:t>Highlights</w:t>
            </w:r>
          </w:p>
          <w:p>
            <w:pPr>
              <w:pStyle w:val="1AutoList1"/>
              <w:numPr>
                <w:ilvl w:val="0"/>
                <w:numId w:val="0"/>
              </w:numPr>
              <w:tabs>
                <w:tab w:val="clear" w:pos="720"/>
              </w:tabs>
              <w:ind w:hanging="0" w:start="0"/>
              <w:jc w:val="start"/>
              <w:rPr>
                <w:rFonts w:ascii="Arial" w:hAnsi="Arial" w:cs="Arial"/>
                <w:sz w:val="22"/>
                <w:u w:val="none"/>
              </w:rPr>
            </w:pPr>
            <w:r>
              <w:rPr>
                <w:rFonts w:cs="Arial" w:ascii="Arial" w:hAnsi="Arial"/>
                <w:sz w:val="22"/>
                <w:u w:val="none"/>
              </w:rPr>
            </w:r>
          </w:p>
          <w:p>
            <w:pPr>
              <w:pStyle w:val="1AutoList1"/>
              <w:tabs>
                <w:tab w:val="clear" w:pos="720"/>
              </w:tabs>
              <w:ind w:hanging="0" w:start="0" w:end="0"/>
              <w:jc w:val="start"/>
              <w:rPr>
                <w:rFonts w:ascii="Arial" w:hAnsi="Arial" w:cs="Arial"/>
                <w:sz w:val="22"/>
              </w:rPr>
            </w:pPr>
            <w:r>
              <w:rPr>
                <w:rFonts w:cs="Arial" w:ascii="Arial" w:hAnsi="Arial"/>
                <w:sz w:val="22"/>
              </w:rPr>
              <w:t>Managed $4.0 billion cash portfolio, corporate bond investment, and government securities.  Developed strategies, negotiated, and settled trades.  Performed required accounting and reporting complying with GAAP and SEC requirements.</w:t>
            </w:r>
          </w:p>
          <w:p>
            <w:pPr>
              <w:pStyle w:val="1AutoList1"/>
              <w:tabs>
                <w:tab w:val="clear" w:pos="720"/>
              </w:tabs>
              <w:ind w:hanging="0" w:start="0" w:end="0"/>
              <w:jc w:val="start"/>
              <w:rPr>
                <w:rFonts w:ascii="Arial" w:hAnsi="Arial" w:cs="Arial"/>
                <w:sz w:val="22"/>
              </w:rPr>
            </w:pPr>
            <w:r>
              <w:rPr>
                <w:rFonts w:cs="Arial" w:ascii="Arial" w:hAnsi="Arial"/>
                <w:sz w:val="22"/>
              </w:rPr>
            </w:r>
          </w:p>
          <w:p>
            <w:pPr>
              <w:pStyle w:val="1AutoList1"/>
              <w:tabs>
                <w:tab w:val="clear" w:pos="720"/>
              </w:tabs>
              <w:ind w:hanging="0" w:start="0" w:end="0"/>
              <w:jc w:val="start"/>
              <w:rPr>
                <w:rFonts w:ascii="Arial" w:hAnsi="Arial" w:cs="Arial"/>
                <w:sz w:val="22"/>
              </w:rPr>
            </w:pPr>
            <w:r>
              <w:rPr>
                <w:rFonts w:cs="Arial" w:ascii="Arial" w:hAnsi="Arial"/>
                <w:sz w:val="22"/>
              </w:rPr>
              <w:t>Balance sheet liability management including stock buy backs, and managing sinking fund debt.</w:t>
            </w:r>
          </w:p>
          <w:p>
            <w:pPr>
              <w:pStyle w:val="1AutoList1"/>
              <w:tabs>
                <w:tab w:val="clear" w:pos="720"/>
              </w:tabs>
              <w:ind w:hanging="0" w:start="0" w:end="0"/>
              <w:jc w:val="start"/>
              <w:rPr>
                <w:rFonts w:ascii="Arial" w:hAnsi="Arial" w:cs="Arial"/>
                <w:sz w:val="22"/>
              </w:rPr>
            </w:pPr>
            <w:r>
              <w:rPr>
                <w:rFonts w:cs="Arial" w:ascii="Arial" w:hAnsi="Arial"/>
                <w:sz w:val="22"/>
              </w:rPr>
            </w:r>
          </w:p>
          <w:p>
            <w:pPr>
              <w:pStyle w:val="1AutoList1"/>
              <w:tabs>
                <w:tab w:val="clear" w:pos="720"/>
              </w:tabs>
              <w:ind w:hanging="0" w:start="0" w:end="0"/>
              <w:jc w:val="start"/>
              <w:rPr>
                <w:rFonts w:ascii="Arial" w:hAnsi="Arial" w:cs="Arial"/>
                <w:sz w:val="22"/>
              </w:rPr>
            </w:pPr>
            <w:r>
              <w:rPr>
                <w:rFonts w:cs="Arial" w:ascii="Arial" w:hAnsi="Arial"/>
                <w:sz w:val="22"/>
              </w:rPr>
              <w:t>Traded precious metal commodities.</w:t>
            </w:r>
          </w:p>
          <w:p>
            <w:pPr>
              <w:pStyle w:val="Subtitle"/>
              <w:jc w:val="start"/>
              <w:rPr>
                <w:rFonts w:ascii="Arial" w:hAnsi="Arial" w:cs="Arial"/>
                <w:sz w:val="22"/>
              </w:rPr>
            </w:pPr>
            <w:r>
              <w:rPr>
                <w:rFonts w:cs="Arial"/>
                <w:sz w:val="22"/>
              </w:rPr>
            </w:r>
          </w:p>
        </w:tc>
      </w:tr>
      <w:tr>
        <w:trPr>
          <w:trHeight w:val="2439" w:hRule="atLeast"/>
        </w:trPr>
        <w:tc>
          <w:tcPr>
            <w:tcW w:w="1980" w:type="dxa"/>
            <w:tcBorders/>
          </w:tcPr>
          <w:p>
            <w:pPr>
              <w:pStyle w:val="Subtitle"/>
              <w:jc w:val="start"/>
              <w:rPr/>
            </w:pPr>
            <w:r>
              <w:rPr/>
              <w:t>Work History</w:t>
            </w:r>
          </w:p>
        </w:tc>
        <w:tc>
          <w:tcPr>
            <w:tcW w:w="8100" w:type="dxa"/>
            <w:tcBorders/>
          </w:tcPr>
          <w:p>
            <w:pPr>
              <w:pStyle w:val="Normal"/>
              <w:rPr/>
            </w:pPr>
            <w:r>
              <w:rPr>
                <w:b/>
              </w:rPr>
              <w:t xml:space="preserve">American Motors Corporation, </w:t>
            </w:r>
            <w:r>
              <w:rPr/>
              <w:t xml:space="preserve">1980-1988 </w:t>
            </w:r>
          </w:p>
          <w:p>
            <w:pPr>
              <w:pStyle w:val="Header"/>
              <w:rPr/>
            </w:pPr>
            <w:r>
              <w:rPr/>
              <w:t>Manager Cash Administration</w:t>
            </w:r>
          </w:p>
          <w:p>
            <w:pPr>
              <w:pStyle w:val="Header"/>
              <w:rPr/>
            </w:pPr>
            <w:r>
              <w:rPr/>
            </w:r>
          </w:p>
          <w:p>
            <w:pPr>
              <w:pStyle w:val="Heading1"/>
              <w:tabs>
                <w:tab w:val="clear" w:pos="0"/>
                <w:tab w:val="clear" w:pos="288"/>
                <w:tab w:val="clear" w:pos="576"/>
                <w:tab w:val="clear" w:pos="864"/>
                <w:tab w:val="clear" w:pos="1152"/>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ind w:hanging="0" w:start="0"/>
              <w:jc w:val="center"/>
              <w:rPr>
                <w:rFonts w:ascii="Arial" w:hAnsi="Arial" w:cs="Arial"/>
                <w:sz w:val="24"/>
                <w:u w:val="none"/>
              </w:rPr>
            </w:pPr>
            <w:r>
              <w:rPr>
                <w:rFonts w:cs="Arial" w:ascii="Arial" w:hAnsi="Arial"/>
                <w:sz w:val="24"/>
                <w:u w:val="none"/>
              </w:rPr>
              <w:t>Highlights</w:t>
            </w:r>
          </w:p>
          <w:p>
            <w:pPr>
              <w:pStyle w:val="Normal"/>
              <w:rPr>
                <w:rFonts w:ascii="Arial" w:hAnsi="Arial" w:cs="Arial"/>
                <w:sz w:val="24"/>
                <w:u w:val="none"/>
              </w:rPr>
            </w:pPr>
            <w:r>
              <w:rPr>
                <w:rFonts w:cs="Arial"/>
                <w:sz w:val="24"/>
                <w:u w:val="none"/>
              </w:rPr>
            </w:r>
          </w:p>
          <w:p>
            <w:pPr>
              <w:pStyle w:val="2AutoList1"/>
              <w:tabs>
                <w:tab w:val="clear" w:pos="720"/>
                <w:tab w:val="clear" w:pos="1440"/>
              </w:tabs>
              <w:ind w:hanging="0" w:start="0" w:end="0"/>
              <w:jc w:val="start"/>
              <w:rPr>
                <w:rFonts w:ascii="Arial" w:hAnsi="Arial" w:cs="Arial"/>
                <w:sz w:val="22"/>
              </w:rPr>
            </w:pPr>
            <w:r>
              <w:rPr>
                <w:rFonts w:cs="Arial" w:ascii="Arial" w:hAnsi="Arial"/>
                <w:sz w:val="22"/>
              </w:rPr>
              <w:t>Collected $50 million letter of credit from Iran during 1983 embargo, single largest letter of credit for American Motors.</w:t>
            </w:r>
          </w:p>
          <w:p>
            <w:pPr>
              <w:pStyle w:val="Subtitle"/>
              <w:jc w:val="start"/>
              <w:rPr>
                <w:rFonts w:ascii="Arial" w:hAnsi="Arial" w:cs="Arial"/>
                <w:sz w:val="22"/>
              </w:rPr>
            </w:pPr>
            <w:r>
              <w:rPr>
                <w:rFonts w:cs="Arial"/>
                <w:sz w:val="22"/>
              </w:rPr>
            </w:r>
          </w:p>
        </w:tc>
      </w:tr>
      <w:tr>
        <w:trPr>
          <w:trHeight w:val="1071" w:hRule="atLeast"/>
        </w:trPr>
        <w:tc>
          <w:tcPr>
            <w:tcW w:w="1980" w:type="dxa"/>
            <w:tcBorders/>
          </w:tcPr>
          <w:p>
            <w:pPr>
              <w:pStyle w:val="Subtitle"/>
              <w:jc w:val="start"/>
              <w:rPr/>
            </w:pPr>
            <w:r>
              <w:rPr/>
              <w:t>Education</w:t>
            </w:r>
          </w:p>
        </w:tc>
        <w:tc>
          <w:tcPr>
            <w:tcW w:w="8100" w:type="dxa"/>
            <w:tcBorders/>
          </w:tcPr>
          <w:p>
            <w:pPr>
              <w:pStyle w:val="Heading4"/>
              <w:numPr>
                <w:ilvl w:val="0"/>
                <w:numId w:val="0"/>
              </w:numPr>
              <w:ind w:hanging="0" w:start="0"/>
              <w:rPr>
                <w:rFonts w:ascii="Arial" w:hAnsi="Arial" w:cs="Arial"/>
                <w:b/>
              </w:rPr>
            </w:pPr>
            <w:r>
              <w:rPr>
                <w:rFonts w:cs="Arial" w:ascii="Arial" w:hAnsi="Arial"/>
                <w:b/>
              </w:rPr>
              <w:t>M.B.A, Michigan State University, 1991.</w:t>
            </w:r>
          </w:p>
          <w:p>
            <w:pPr>
              <w:pStyle w:val="Normal"/>
              <w:rPr>
                <w:b/>
              </w:rPr>
            </w:pPr>
            <w:r>
              <w:rPr>
                <w:b/>
              </w:rPr>
              <w:t>B.A., Economics, University of Detroit, 1979.</w:t>
            </w:r>
          </w:p>
        </w:tc>
      </w:tr>
      <w:tr>
        <w:trPr>
          <w:trHeight w:val="819" w:hRule="atLeast"/>
        </w:trPr>
        <w:tc>
          <w:tcPr>
            <w:tcW w:w="1980" w:type="dxa"/>
            <w:tcBorders/>
          </w:tcPr>
          <w:p>
            <w:pPr>
              <w:pStyle w:val="Subtitle"/>
              <w:jc w:val="start"/>
              <w:rPr/>
            </w:pPr>
            <w:r>
              <w:rPr/>
              <w:t>Additional Training</w:t>
            </w:r>
          </w:p>
        </w:tc>
        <w:tc>
          <w:tcPr>
            <w:tcW w:w="8100" w:type="dxa"/>
            <w:tcBorders/>
          </w:tcPr>
          <w:p>
            <w:pPr>
              <w:pStyle w:val="Heading4"/>
              <w:numPr>
                <w:ilvl w:val="0"/>
                <w:numId w:val="0"/>
              </w:numPr>
              <w:ind w:hanging="0" w:start="0"/>
              <w:rPr>
                <w:rFonts w:ascii="Arial" w:hAnsi="Arial" w:cs="Arial"/>
                <w:b/>
              </w:rPr>
            </w:pPr>
            <w:r>
              <w:rPr>
                <w:rFonts w:cs="Arial" w:ascii="Arial" w:hAnsi="Arial"/>
                <w:b/>
              </w:rPr>
              <w:t>Attended Executive Education, Harvard Business School, 1999.</w:t>
            </w:r>
          </w:p>
        </w:tc>
      </w:tr>
    </w:tbl>
    <w:p>
      <w:pPr>
        <w:pStyle w:val="Subtitle"/>
        <w:rPr/>
      </w:pPr>
      <w:r>
        <w:rPr/>
      </w:r>
    </w:p>
    <w:sectPr>
      <w:headerReference w:type="default" r:id="rId2"/>
      <w:headerReference w:type="first" r:id="rId3"/>
      <w:footerReference w:type="default" r:id="rId4"/>
      <w:footerReference w:type="first" r:id="rId5"/>
      <w:type w:val="nextPage"/>
      <w:pgSz w:w="12240" w:h="15840"/>
      <w:pgMar w:left="1440" w:right="1440" w:gutter="0" w:header="432" w:top="1008" w:footer="432"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eltenhm BT">
    <w:charset w:val="00" w:characterSet="windows-1252"/>
    <w:family w:val="auto"/>
    <w:pitch w:val="variable"/>
  </w:font>
  <w:font w:name="Book Antiqua">
    <w:charset w:val="00" w:characterSet="windows-1252"/>
    <w:family w:val="roman"/>
    <w:pitch w:val="variable"/>
  </w:font>
  <w:font w:name="Wingdings">
    <w:charset w:val="02"/>
    <w:family w:val="auto"/>
    <w:pitch w:val="variable"/>
  </w:font>
  <w:font w:name="WP TypographicSymbol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Matt.Moses@altavista.net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Mathew R. Moses</w:t>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tab/>
      <w:t>(936) 273-3732</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numPr>
        <w:ilvl w:val="0"/>
        <w:numId w:val="0"/>
      </w:numPr>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s>
      <w:ind w:start="180" w:end="0"/>
      <w:outlineLvl w:val="0"/>
      <w:rPr>
        <w:rFonts w:ascii="Arial" w:hAnsi="Arial" w:cs="Arial"/>
        <w:sz w:val="36"/>
      </w:rPr>
    </w:pPr>
    <w:r>
      <w:rPr>
        <w:rFonts w:cs="Arial" w:ascii="Arial" w:hAnsi="Arial"/>
        <w:sz w:val="36"/>
      </w:rPr>
      <w:t>Mathew R. Moses</w:t>
    </w:r>
  </w:p>
  <w:p>
    <w:pPr>
      <w:pStyle w:val="Heading"/>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s>
      <w:ind w:start="180" w:end="0"/>
      <w:jc w:val="start"/>
      <w:rPr>
        <w:rFonts w:ascii="Arial" w:hAnsi="Arial" w:cs="Arial"/>
        <w:sz w:val="24"/>
      </w:rPr>
    </w:pPr>
    <w:r>
      <w:rPr>
        <w:rFonts w:cs="Arial" w:ascii="Arial" w:hAnsi="Arial"/>
        <w:sz w:val="24"/>
      </w:rPr>
      <w:t>119 Green Gables Court</w:t>
      <w:tab/>
      <w:tab/>
      <w:tab/>
      <w:tab/>
      <w:tab/>
      <w:tab/>
      <w:t>(936) 273-3732</w:t>
    </w:r>
  </w:p>
  <w:p>
    <w:pPr>
      <w:pStyle w:val="Heading"/>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s>
      <w:ind w:start="180" w:end="0"/>
      <w:jc w:val="start"/>
      <w:rPr>
        <w:rFonts w:ascii="Arial" w:hAnsi="Arial" w:cs="Arial"/>
        <w:sz w:val="24"/>
      </w:rPr>
    </w:pPr>
    <w:r>
      <w:rPr>
        <w:rFonts w:cs="Arial" w:ascii="Arial" w:hAnsi="Arial"/>
        <w:sz w:val="24"/>
      </w:rPr>
      <w:t>The Woodlands, TX 77382</w:t>
      <w:tab/>
      <w:tab/>
      <w:tab/>
      <w:tab/>
      <w:tab/>
      <w:tab/>
      <w:t>(936) 524-1459</w:t>
    </w:r>
  </w:p>
  <w:p>
    <w:pPr>
      <w:pStyle w:val="Header"/>
      <w:rPr>
        <w:rFonts w:ascii="Arial" w:hAnsi="Arial" w:cs="Arial"/>
        <w:sz w:val="24"/>
      </w:rPr>
    </w:pPr>
    <w:r>
      <w:rPr>
        <w:rFonts w:cs="Arial"/>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outlineLvl w:val="0"/>
    </w:pPr>
    <w:rPr>
      <w:rFonts w:ascii="Cheltenhm BT" w:hAnsi="Cheltenhm BT" w:cs="Cheltenhm BT"/>
      <w:b/>
      <w:sz w:val="23"/>
      <w:u w:val="single"/>
    </w:rPr>
  </w:style>
  <w:style w:type="paragraph" w:styleId="Heading2">
    <w:name w:val="heading 2"/>
    <w:basedOn w:val="Normal"/>
    <w:next w:val="Normal"/>
    <w:qFormat/>
    <w:pPr>
      <w:keepNext w:val="true"/>
      <w:numPr>
        <w:ilvl w:val="1"/>
        <w:numId w:val="1"/>
      </w:numPr>
      <w:tabs>
        <w:tab w:val="clear" w:pos="720"/>
        <w:tab w:val="left" w:pos="0" w:leader="none"/>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jc w:val="center"/>
      <w:outlineLvl w:val="1"/>
    </w:pPr>
    <w:rPr>
      <w:rFonts w:ascii="Book Antiqua" w:hAnsi="Book Antiqua" w:cs="Book Antiqua"/>
      <w:b/>
      <w:sz w:val="24"/>
    </w:rPr>
  </w:style>
  <w:style w:type="paragraph" w:styleId="Heading3">
    <w:name w:val="heading 3"/>
    <w:basedOn w:val="Normal"/>
    <w:next w:val="Normal"/>
    <w:qFormat/>
    <w:pPr>
      <w:keepNext w:val="true"/>
      <w:numPr>
        <w:ilvl w:val="2"/>
        <w:numId w:val="1"/>
      </w:numPr>
      <w:tabs>
        <w:tab w:val="clear" w:pos="720"/>
        <w:tab w:val="left" w:pos="0" w:leader="none"/>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outlineLvl w:val="2"/>
    </w:pPr>
    <w:rPr>
      <w:rFonts w:ascii="Book Antiqua" w:hAnsi="Book Antiqua" w:cs="Book Antiqua"/>
      <w:b/>
      <w:sz w:val="28"/>
      <w:u w:val="single"/>
    </w:rPr>
  </w:style>
  <w:style w:type="paragraph" w:styleId="Heading4">
    <w:name w:val="heading 4"/>
    <w:basedOn w:val="Normal"/>
    <w:next w:val="Normal"/>
    <w:qFormat/>
    <w:pPr>
      <w:keepNext w:val="true"/>
      <w:numPr>
        <w:ilvl w:val="3"/>
        <w:numId w:val="1"/>
      </w:numPr>
      <w:outlineLvl w:val="3"/>
    </w:pPr>
    <w:rPr>
      <w:rFonts w:ascii="Book Antiqua" w:hAnsi="Book Antiqua" w:cs="Book Antiqua"/>
      <w:sz w:val="24"/>
    </w:rPr>
  </w:style>
  <w:style w:type="paragraph" w:styleId="Heading5">
    <w:name w:val="heading 5"/>
    <w:basedOn w:val="Normal"/>
    <w:next w:val="Normal"/>
    <w:qFormat/>
    <w:pPr>
      <w:keepNext w:val="true"/>
      <w:numPr>
        <w:ilvl w:val="4"/>
        <w:numId w:val="1"/>
      </w:numPr>
      <w:tabs>
        <w:tab w:val="clear" w:pos="720"/>
        <w:tab w:val="left" w:pos="0" w:leader="none"/>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outlineLvl w:val="4"/>
    </w:pPr>
    <w:rPr>
      <w:rFonts w:ascii="Book Antiqua" w:hAnsi="Book Antiqua" w:cs="Book Antiqua"/>
      <w:b/>
      <w:sz w:val="24"/>
      <w:u w:val="single"/>
    </w:rPr>
  </w:style>
  <w:style w:type="paragraph" w:styleId="Heading6">
    <w:name w:val="heading 6"/>
    <w:basedOn w:val="Normal"/>
    <w:next w:val="Normal"/>
    <w:qFormat/>
    <w:pPr>
      <w:keepNext w:val="true"/>
      <w:numPr>
        <w:ilvl w:val="5"/>
        <w:numId w:val="1"/>
      </w:numPr>
      <w:ind w:hanging="0" w:start="360" w:end="0"/>
      <w:outlineLvl w:val="5"/>
    </w:pPr>
    <w:rPr>
      <w:rFonts w:ascii="Arial" w:hAnsi="Arial" w:cs="Arial"/>
      <w:b/>
      <w:color w:val="000080"/>
      <w:sz w:val="28"/>
      <w:u w:val="single"/>
    </w:rPr>
  </w:style>
  <w:style w:type="paragraph" w:styleId="Heading7">
    <w:name w:val="heading 7"/>
    <w:basedOn w:val="Normal"/>
    <w:next w:val="Normal"/>
    <w:qFormat/>
    <w:pPr>
      <w:keepNext w:val="true"/>
      <w:numPr>
        <w:ilvl w:val="6"/>
        <w:numId w:val="1"/>
      </w:numPr>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0" w:end="-170"/>
      <w:outlineLvl w:val="7"/>
    </w:pPr>
    <w:rPr>
      <w:b/>
      <w:color w:val="000080"/>
      <w:sz w:val="28"/>
      <w:u w:val="single"/>
    </w:rPr>
  </w:style>
  <w:style w:type="paragraph" w:styleId="Heading9">
    <w:name w:val="heading 9"/>
    <w:basedOn w:val="Normal"/>
    <w:next w:val="Normal"/>
    <w:qFormat/>
    <w:pPr>
      <w:keepNext w:val="true"/>
      <w:numPr>
        <w:ilvl w:val="8"/>
        <w:numId w:val="1"/>
      </w:numPr>
      <w:jc w:val="center"/>
      <w:outlineLvl w:val="8"/>
    </w:pPr>
    <w:rPr>
      <w:b/>
      <w:sz w:val="28"/>
    </w:rPr>
  </w:style>
  <w:style w:type="character" w:styleId="WW8Num2z0">
    <w:name w:val="WW8Num2z0"/>
    <w:qFormat/>
    <w:rPr>
      <w:rFonts w:ascii="Wingdings" w:hAnsi="Wingdings" w:cs="Wingdings"/>
      <w:color w:val="000080"/>
      <w:sz w:val="16"/>
    </w:rPr>
  </w:style>
  <w:style w:type="character" w:styleId="WW8Num2z1">
    <w:name w:val="WW8Num2z1"/>
    <w:qFormat/>
    <w:rPr>
      <w:rFonts w:ascii="WP TypographicSymbols" w:hAnsi="WP TypographicSymbols" w:cs="WP TypographicSymbol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color w:val="000080"/>
      <w:sz w:val="16"/>
    </w:rPr>
  </w:style>
  <w:style w:type="character" w:styleId="WW8Num8z1">
    <w:name w:val="WW8Num8z1"/>
    <w:qFormat/>
    <w:rPr>
      <w:rFonts w:ascii="WP TypographicSymbols" w:hAnsi="WP TypographicSymbols" w:cs="WP TypographicSymbols"/>
    </w:rPr>
  </w:style>
  <w:style w:type="character" w:styleId="WW8Num9z0">
    <w:name w:val="WW8Num9z0"/>
    <w:qFormat/>
    <w:rPr>
      <w:rFonts w:ascii="Wingdings" w:hAnsi="Wingdings" w:cs="Wingdings"/>
      <w:color w:val="000080"/>
      <w:sz w:val="16"/>
    </w:rPr>
  </w:style>
  <w:style w:type="character" w:styleId="WW8Num9z1">
    <w:name w:val="WW8Num9z1"/>
    <w:qFormat/>
    <w:rPr>
      <w:rFonts w:ascii="WP TypographicSymbols" w:hAnsi="WP TypographicSymbols" w:cs="WP TypographicSymbols"/>
    </w:rPr>
  </w:style>
  <w:style w:type="character" w:styleId="WW8NumSt1z0">
    <w:name w:val="WW8NumSt1z0"/>
    <w:qFormat/>
    <w:rPr>
      <w:rFonts w:ascii="Wingdings" w:hAnsi="Wingdings" w:cs="Wingdings"/>
      <w:color w:val="000080"/>
    </w:rPr>
  </w:style>
  <w:style w:type="character" w:styleId="WW8NumSt3z0">
    <w:name w:val="WW8NumSt3z0"/>
    <w:qFormat/>
    <w:rPr>
      <w:rFonts w:ascii="Wingdings" w:hAnsi="Wingdings" w:cs="Wingdings"/>
      <w:color w:val="000080"/>
      <w:sz w:val="16"/>
    </w:rPr>
  </w:style>
  <w:style w:type="character" w:styleId="WW8NumSt3z1">
    <w:name w:val="WW8NumSt3z1"/>
    <w:qFormat/>
    <w:rPr>
      <w:rFonts w:ascii="WP TypographicSymbols" w:hAnsi="WP TypographicSymbols" w:cs="WP TypographicSymbols"/>
    </w:rPr>
  </w:style>
  <w:style w:type="character" w:styleId="WW8NumSt4z0">
    <w:name w:val="WW8NumSt4z0"/>
    <w:qFormat/>
    <w:rPr>
      <w:rFonts w:ascii="Wingdings" w:hAnsi="Wingdings" w:cs="Wingdings"/>
      <w:color w:val="000080"/>
      <w:sz w:val="16"/>
    </w:rPr>
  </w:style>
  <w:style w:type="character" w:styleId="WW8NumSt4z1">
    <w:name w:val="WW8NumSt4z1"/>
    <w:qFormat/>
    <w:rPr>
      <w:rFonts w:ascii="WP TypographicSymbols" w:hAnsi="WP TypographicSymbols" w:cs="WP TypographicSymbols"/>
    </w:rPr>
  </w:style>
  <w:style w:type="character" w:styleId="WW8NumSt5z0">
    <w:name w:val="WW8NumSt5z0"/>
    <w:qFormat/>
    <w:rPr>
      <w:rFonts w:ascii="Wingdings" w:hAnsi="Wingdings" w:cs="Wingdings"/>
      <w:color w:val="000080"/>
      <w:sz w:val="16"/>
    </w:rPr>
  </w:style>
  <w:style w:type="character" w:styleId="WW8NumSt5z1">
    <w:name w:val="WW8NumSt5z1"/>
    <w:qFormat/>
    <w:rPr>
      <w:rFonts w:ascii="WP TypographicSymbols" w:hAnsi="WP TypographicSymbols" w:cs="WP TypographicSymbols"/>
    </w:rPr>
  </w:style>
  <w:style w:type="character" w:styleId="WW8NumSt6z0">
    <w:name w:val="WW8NumSt6z0"/>
    <w:qFormat/>
    <w:rPr>
      <w:rFonts w:ascii="Wingdings" w:hAnsi="Wingdings" w:cs="Wingdings"/>
      <w:color w:val="000080"/>
      <w:sz w:val="16"/>
    </w:rPr>
  </w:style>
  <w:style w:type="character" w:styleId="WW8NumSt6z1">
    <w:name w:val="WW8NumSt6z1"/>
    <w:qFormat/>
    <w:rPr>
      <w:rFonts w:ascii="WP TypographicSymbols" w:hAnsi="WP TypographicSymbols" w:cs="WP TypographicSymbols"/>
    </w:rPr>
  </w:style>
  <w:style w:type="character" w:styleId="WW8NumSt7z0">
    <w:name w:val="WW8NumSt7z0"/>
    <w:qFormat/>
    <w:rPr>
      <w:rFonts w:ascii="Wingdings" w:hAnsi="Wingdings" w:cs="Wingdings"/>
      <w:color w:val="000080"/>
      <w:sz w:val="16"/>
    </w:rPr>
  </w:style>
  <w:style w:type="character" w:styleId="WW8NumSt7z1">
    <w:name w:val="WW8NumSt7z1"/>
    <w:qFormat/>
    <w:rPr>
      <w:rFonts w:ascii="WP TypographicSymbols" w:hAnsi="WP TypographicSymbols" w:cs="WP TypographicSymbols"/>
    </w:rPr>
  </w:style>
  <w:style w:type="character" w:styleId="WW8NumSt8z0">
    <w:name w:val="WW8NumSt8z0"/>
    <w:qFormat/>
    <w:rPr>
      <w:rFonts w:ascii="Wingdings" w:hAnsi="Wingdings" w:cs="Wingdings"/>
      <w:color w:val="000080"/>
      <w:sz w:val="16"/>
    </w:rPr>
  </w:style>
  <w:style w:type="character" w:styleId="WW8NumSt8z1">
    <w:name w:val="WW8NumSt8z1"/>
    <w:qFormat/>
    <w:rPr>
      <w:rFonts w:ascii="WP TypographicSymbols" w:hAnsi="WP TypographicSymbols" w:cs="WP TypographicSymbols"/>
    </w:rPr>
  </w:style>
  <w:style w:type="character" w:styleId="WW8NumSt9z0">
    <w:name w:val="WW8NumSt9z0"/>
    <w:qFormat/>
    <w:rPr>
      <w:rFonts w:ascii="Wingdings" w:hAnsi="Wingdings" w:cs="Wingdings"/>
      <w:color w:val="000080"/>
      <w:sz w:val="16"/>
    </w:rPr>
  </w:style>
  <w:style w:type="character" w:styleId="WW8NumSt9z1">
    <w:name w:val="WW8NumSt9z1"/>
    <w:qFormat/>
    <w:rPr>
      <w:rFonts w:ascii="WP TypographicSymbols" w:hAnsi="WP TypographicSymbols" w:cs="WP TypographicSymbols"/>
    </w:rPr>
  </w:style>
  <w:style w:type="character" w:styleId="WW8NumSt10z0">
    <w:name w:val="WW8NumSt10z0"/>
    <w:qFormat/>
    <w:rPr>
      <w:rFonts w:ascii="Wingdings" w:hAnsi="Wingdings" w:cs="Wingdings"/>
      <w:color w:val="000080"/>
      <w:sz w:val="16"/>
    </w:rPr>
  </w:style>
  <w:style w:type="character" w:styleId="WW8NumSt10z1">
    <w:name w:val="WW8NumSt10z1"/>
    <w:qFormat/>
    <w:rPr>
      <w:rFonts w:ascii="WP TypographicSymbols" w:hAnsi="WP TypographicSymbols" w:cs="WP TypographicSymbols"/>
    </w:rPr>
  </w:style>
  <w:style w:type="character" w:styleId="WW8NumSt11z0">
    <w:name w:val="WW8NumSt11z0"/>
    <w:qFormat/>
    <w:rPr>
      <w:rFonts w:ascii="Wingdings" w:hAnsi="Wingdings" w:cs="Wingdings"/>
      <w:color w:val="000080"/>
      <w:sz w:val="16"/>
    </w:rPr>
  </w:style>
  <w:style w:type="character" w:styleId="WW8NumSt11z1">
    <w:name w:val="WW8NumSt11z1"/>
    <w:qFormat/>
    <w:rPr>
      <w:rFonts w:ascii="WP TypographicSymbols" w:hAnsi="WP TypographicSymbols" w:cs="WP TypographicSymbols"/>
    </w:rPr>
  </w:style>
  <w:style w:type="character" w:styleId="WW8NumSt12z0">
    <w:name w:val="WW8NumSt12z0"/>
    <w:qFormat/>
    <w:rPr>
      <w:rFonts w:ascii="Wingdings" w:hAnsi="Wingdings" w:cs="Wingdings"/>
      <w:color w:val="000080"/>
      <w:sz w:val="16"/>
    </w:rPr>
  </w:style>
  <w:style w:type="character" w:styleId="WW8NumSt12z1">
    <w:name w:val="WW8NumSt12z1"/>
    <w:qFormat/>
    <w:rPr>
      <w:rFonts w:ascii="WP TypographicSymbols" w:hAnsi="WP TypographicSymbols" w:cs="WP TypographicSymbols"/>
    </w:rPr>
  </w:style>
  <w:style w:type="character" w:styleId="WW8NumSt13z0">
    <w:name w:val="WW8NumSt13z0"/>
    <w:qFormat/>
    <w:rPr>
      <w:rFonts w:ascii="Wingdings" w:hAnsi="Wingdings" w:cs="Wingdings"/>
      <w:color w:val="000080"/>
      <w:sz w:val="16"/>
    </w:rPr>
  </w:style>
  <w:style w:type="character" w:styleId="WW8NumSt13z1">
    <w:name w:val="WW8NumSt13z1"/>
    <w:qFormat/>
    <w:rPr>
      <w:rFonts w:ascii="WP TypographicSymbols" w:hAnsi="WP TypographicSymbols" w:cs="WP TypographicSymbols"/>
    </w:rPr>
  </w:style>
  <w:style w:type="character" w:styleId="WW8NumSt14z0">
    <w:name w:val="WW8NumSt14z0"/>
    <w:qFormat/>
    <w:rPr>
      <w:rFonts w:ascii="Wingdings" w:hAnsi="Wingdings" w:cs="Wingdings"/>
      <w:color w:val="000080"/>
      <w:sz w:val="16"/>
    </w:rPr>
  </w:style>
  <w:style w:type="character" w:styleId="WW8NumSt14z1">
    <w:name w:val="WW8NumSt14z1"/>
    <w:qFormat/>
    <w:rPr>
      <w:rFonts w:ascii="WP TypographicSymbols" w:hAnsi="WP TypographicSymbols" w:cs="WP TypographicSymbols"/>
    </w:rPr>
  </w:style>
  <w:style w:type="character" w:styleId="WW8NumSt15z0">
    <w:name w:val="WW8NumSt15z0"/>
    <w:qFormat/>
    <w:rPr>
      <w:rFonts w:ascii="Wingdings" w:hAnsi="Wingdings" w:cs="Wingdings"/>
      <w:color w:val="000080"/>
      <w:sz w:val="16"/>
    </w:rPr>
  </w:style>
  <w:style w:type="character" w:styleId="WW8NumSt15z1">
    <w:name w:val="WW8NumSt15z1"/>
    <w:qFormat/>
    <w:rPr>
      <w:rFonts w:ascii="WP TypographicSymbols" w:hAnsi="WP TypographicSymbols" w:cs="WP TypographicSymbols"/>
    </w:rPr>
  </w:style>
  <w:style w:type="character" w:styleId="WW8NumSt16z0">
    <w:name w:val="WW8NumSt16z0"/>
    <w:qFormat/>
    <w:rPr>
      <w:rFonts w:ascii="Wingdings" w:hAnsi="Wingdings" w:cs="Wingdings"/>
      <w:color w:val="000080"/>
      <w:sz w:val="16"/>
    </w:rPr>
  </w:style>
  <w:style w:type="character" w:styleId="WW8NumSt16z1">
    <w:name w:val="WW8NumSt16z1"/>
    <w:qFormat/>
    <w:rPr>
      <w:rFonts w:ascii="WP TypographicSymbols" w:hAnsi="WP TypographicSymbols" w:cs="WP TypographicSymbols"/>
    </w:rPr>
  </w:style>
  <w:style w:type="character" w:styleId="WW8NumSt17z0">
    <w:name w:val="WW8NumSt17z0"/>
    <w:qFormat/>
    <w:rPr>
      <w:rFonts w:ascii="Wingdings" w:hAnsi="Wingdings" w:cs="Wingdings"/>
      <w:color w:val="000080"/>
      <w:sz w:val="16"/>
    </w:rPr>
  </w:style>
  <w:style w:type="character" w:styleId="WW8NumSt17z1">
    <w:name w:val="WW8NumSt17z1"/>
    <w:qFormat/>
    <w:rPr>
      <w:rFonts w:ascii="WP TypographicSymbols" w:hAnsi="WP TypographicSymbols" w:cs="WP TypographicSymbols"/>
    </w:rPr>
  </w:style>
  <w:style w:type="character" w:styleId="WW8NumSt19z0">
    <w:name w:val="WW8NumSt19z0"/>
    <w:qFormat/>
    <w:rPr>
      <w:rFonts w:ascii="Wingdings" w:hAnsi="Wingdings" w:cs="Wingdings"/>
      <w:color w:val="000080"/>
      <w:sz w:val="16"/>
    </w:rPr>
  </w:style>
  <w:style w:type="character" w:styleId="WW8NumSt19z1">
    <w:name w:val="WW8NumSt19z1"/>
    <w:qFormat/>
    <w:rPr>
      <w:rFonts w:ascii="WP TypographicSymbols" w:hAnsi="WP TypographicSymbols" w:cs="WP TypographicSymbols"/>
    </w:rPr>
  </w:style>
  <w:style w:type="character" w:styleId="WW8NumSt20z0">
    <w:name w:val="WW8NumSt20z0"/>
    <w:qFormat/>
    <w:rPr>
      <w:rFonts w:ascii="Wingdings" w:hAnsi="Wingdings" w:cs="Wingdings"/>
      <w:color w:val="000080"/>
      <w:sz w:val="16"/>
    </w:rPr>
  </w:style>
  <w:style w:type="character" w:styleId="WW8NumSt20z1">
    <w:name w:val="WW8NumSt20z1"/>
    <w:qFormat/>
    <w:rPr>
      <w:rFonts w:ascii="WP TypographicSymbols" w:hAnsi="WP TypographicSymbols" w:cs="WP TypographicSymbols"/>
    </w:rPr>
  </w:style>
  <w:style w:type="character" w:styleId="WW8NumSt22z0">
    <w:name w:val="WW8NumSt22z0"/>
    <w:qFormat/>
    <w:rPr>
      <w:rFonts w:ascii="Wingdings" w:hAnsi="Wingdings" w:cs="Wingdings"/>
      <w:color w:val="000080"/>
      <w:sz w:val="16"/>
    </w:rPr>
  </w:style>
  <w:style w:type="character" w:styleId="WW8NumSt22z1">
    <w:name w:val="WW8NumSt22z1"/>
    <w:qFormat/>
    <w:rPr>
      <w:rFonts w:ascii="WP TypographicSymbols" w:hAnsi="WP TypographicSymbols" w:cs="WP TypographicSymbols"/>
    </w:rPr>
  </w:style>
  <w:style w:type="character" w:styleId="WW8NumSt23z0">
    <w:name w:val="WW8NumSt23z0"/>
    <w:qFormat/>
    <w:rPr>
      <w:rFonts w:ascii="Wingdings" w:hAnsi="Wingdings" w:cs="Wingdings"/>
      <w:color w:val="000080"/>
      <w:sz w:val="16"/>
    </w:rPr>
  </w:style>
  <w:style w:type="character" w:styleId="WW8NumSt23z1">
    <w:name w:val="WW8NumSt23z1"/>
    <w:qFormat/>
    <w:rPr>
      <w:rFonts w:ascii="WP TypographicSymbols" w:hAnsi="WP TypographicSymbols" w:cs="WP TypographicSymbol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tabs>
        <w:tab w:val="clear" w:pos="720"/>
        <w:tab w:val="left" w:pos="0" w:leader="none"/>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 w:val="left" w:pos="3168" w:leader="none"/>
        <w:tab w:val="left" w:pos="3456" w:leader="none"/>
        <w:tab w:val="left" w:pos="3744" w:leader="none"/>
        <w:tab w:val="left" w:pos="4032" w:leader="none"/>
        <w:tab w:val="left" w:pos="4320" w:leader="none"/>
        <w:tab w:val="left" w:pos="4608" w:leader="none"/>
        <w:tab w:val="left" w:pos="4896" w:leader="none"/>
        <w:tab w:val="left" w:pos="5184" w:leader="none"/>
      </w:tabs>
      <w:jc w:val="center"/>
    </w:pPr>
    <w:rPr>
      <w:rFonts w:ascii="Book Antiqua" w:hAnsi="Book Antiqua" w:cs="Book Antiqua"/>
      <w:b/>
      <w:smallCaps/>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7">
    <w:name w:val="1AutoList7"/>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7">
    <w:name w:val="2AutoList7"/>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7">
    <w:name w:val="3AutoList7"/>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0"/>
      <w:lang w:val="en-US" w:bidi="ar-SA" w:eastAsia="zh-CN"/>
    </w:rPr>
  </w:style>
  <w:style w:type="paragraph" w:styleId="4AutoList7">
    <w:name w:val="4AutoList7"/>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0"/>
      <w:lang w:val="en-US" w:bidi="ar-SA" w:eastAsia="zh-CN"/>
    </w:rPr>
  </w:style>
  <w:style w:type="paragraph" w:styleId="5AutoList7">
    <w:name w:val="5AutoList7"/>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0"/>
      <w:lang w:val="en-US" w:bidi="ar-SA" w:eastAsia="zh-CN"/>
    </w:rPr>
  </w:style>
  <w:style w:type="paragraph" w:styleId="6AutoList7">
    <w:name w:val="6AutoList7"/>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0"/>
      <w:lang w:val="en-US" w:bidi="ar-SA" w:eastAsia="zh-CN"/>
    </w:rPr>
  </w:style>
  <w:style w:type="paragraph" w:styleId="7AutoList7">
    <w:name w:val="7AutoList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0"/>
      <w:lang w:val="en-US" w:bidi="ar-SA" w:eastAsia="zh-CN"/>
    </w:rPr>
  </w:style>
  <w:style w:type="paragraph" w:styleId="8AutoList7">
    <w:name w:val="8AutoList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0"/>
      <w:lang w:val="en-US" w:bidi="ar-SA" w:eastAsia="zh-CN"/>
    </w:rPr>
  </w:style>
  <w:style w:type="paragraph" w:styleId="1AutoList6">
    <w:name w:val="1AutoList6"/>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6">
    <w:name w:val="2AutoList6"/>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6">
    <w:name w:val="3AutoList6"/>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0"/>
      <w:lang w:val="en-US" w:bidi="ar-SA" w:eastAsia="zh-CN"/>
    </w:rPr>
  </w:style>
  <w:style w:type="paragraph" w:styleId="4AutoList6">
    <w:name w:val="4AutoList6"/>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0"/>
      <w:lang w:val="en-US" w:bidi="ar-SA" w:eastAsia="zh-CN"/>
    </w:rPr>
  </w:style>
  <w:style w:type="paragraph" w:styleId="5AutoList6">
    <w:name w:val="5AutoList6"/>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0"/>
      <w:lang w:val="en-US" w:bidi="ar-SA" w:eastAsia="zh-CN"/>
    </w:rPr>
  </w:style>
  <w:style w:type="paragraph" w:styleId="6AutoList6">
    <w:name w:val="6AutoList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0"/>
      <w:lang w:val="en-US" w:bidi="ar-SA" w:eastAsia="zh-CN"/>
    </w:rPr>
  </w:style>
  <w:style w:type="paragraph" w:styleId="7AutoList6">
    <w:name w:val="7AutoList6"/>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0"/>
      <w:lang w:val="en-US" w:bidi="ar-SA" w:eastAsia="zh-CN"/>
    </w:rPr>
  </w:style>
  <w:style w:type="paragraph" w:styleId="8AutoList6">
    <w:name w:val="8AutoList6"/>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0"/>
      <w:lang w:val="en-US" w:bidi="ar-SA" w:eastAsia="zh-CN"/>
    </w:rPr>
  </w:style>
  <w:style w:type="paragraph" w:styleId="1AutoList5">
    <w:name w:val="1AutoList5"/>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5">
    <w:name w:val="2AutoList5"/>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5">
    <w:name w:val="3AutoList5"/>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0"/>
      <w:lang w:val="en-US" w:bidi="ar-SA" w:eastAsia="zh-CN"/>
    </w:rPr>
  </w:style>
  <w:style w:type="paragraph" w:styleId="4AutoList5">
    <w:name w:val="4AutoList5"/>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0"/>
      <w:lang w:val="en-US" w:bidi="ar-SA" w:eastAsia="zh-CN"/>
    </w:rPr>
  </w:style>
  <w:style w:type="paragraph" w:styleId="5AutoList5">
    <w:name w:val="5AutoList5"/>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0"/>
      <w:lang w:val="en-US" w:bidi="ar-SA" w:eastAsia="zh-CN"/>
    </w:rPr>
  </w:style>
  <w:style w:type="paragraph" w:styleId="6AutoList5">
    <w:name w:val="6AutoList5"/>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0"/>
      <w:lang w:val="en-US" w:bidi="ar-SA" w:eastAsia="zh-CN"/>
    </w:rPr>
  </w:style>
  <w:style w:type="paragraph" w:styleId="7AutoList5">
    <w:name w:val="7AutoList5"/>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0"/>
      <w:lang w:val="en-US" w:bidi="ar-SA" w:eastAsia="zh-CN"/>
    </w:rPr>
  </w:style>
  <w:style w:type="paragraph" w:styleId="8AutoList5">
    <w:name w:val="8AutoList5"/>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0"/>
      <w:lang w:val="en-US" w:bidi="ar-SA" w:eastAsia="zh-CN"/>
    </w:rPr>
  </w:style>
  <w:style w:type="paragraph" w:styleId="1AutoList4">
    <w:name w:val="1AutoList4"/>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4">
    <w:name w:val="2AutoList4"/>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4">
    <w:name w:val="3AutoList4"/>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0"/>
      <w:lang w:val="en-US" w:bidi="ar-SA" w:eastAsia="zh-CN"/>
    </w:rPr>
  </w:style>
  <w:style w:type="paragraph" w:styleId="4AutoList4">
    <w:name w:val="4AutoList4"/>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0"/>
      <w:lang w:val="en-US" w:bidi="ar-SA" w:eastAsia="zh-CN"/>
    </w:rPr>
  </w:style>
  <w:style w:type="paragraph" w:styleId="5AutoList4">
    <w:name w:val="5AutoList4"/>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0"/>
      <w:lang w:val="en-US" w:bidi="ar-SA" w:eastAsia="zh-CN"/>
    </w:rPr>
  </w:style>
  <w:style w:type="paragraph" w:styleId="6AutoList4">
    <w:name w:val="6AutoList4"/>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0"/>
      <w:lang w:val="en-US" w:bidi="ar-SA" w:eastAsia="zh-CN"/>
    </w:rPr>
  </w:style>
  <w:style w:type="paragraph" w:styleId="7AutoList4">
    <w:name w:val="7AutoList4"/>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0"/>
      <w:lang w:val="en-US" w:bidi="ar-SA" w:eastAsia="zh-CN"/>
    </w:rPr>
  </w:style>
  <w:style w:type="paragraph" w:styleId="8AutoList4">
    <w:name w:val="8AutoList4"/>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0"/>
      <w:lang w:val="en-US" w:bidi="ar-SA" w:eastAsia="zh-CN"/>
    </w:rPr>
  </w:style>
  <w:style w:type="paragraph" w:styleId="1AutoList3">
    <w:name w:val="1AutoList3"/>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3">
    <w:name w:val="2AutoList3"/>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3">
    <w:name w:val="3AutoList3"/>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0"/>
      <w:lang w:val="en-US" w:bidi="ar-SA" w:eastAsia="zh-CN"/>
    </w:rPr>
  </w:style>
  <w:style w:type="paragraph" w:styleId="4AutoList3">
    <w:name w:val="4AutoList3"/>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0"/>
      <w:lang w:val="en-US" w:bidi="ar-SA" w:eastAsia="zh-CN"/>
    </w:rPr>
  </w:style>
  <w:style w:type="paragraph" w:styleId="5AutoList3">
    <w:name w:val="5AutoList3"/>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0"/>
      <w:lang w:val="en-US" w:bidi="ar-SA" w:eastAsia="zh-CN"/>
    </w:rPr>
  </w:style>
  <w:style w:type="paragraph" w:styleId="6AutoList3">
    <w:name w:val="6AutoList3"/>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0"/>
      <w:lang w:val="en-US" w:bidi="ar-SA" w:eastAsia="zh-CN"/>
    </w:rPr>
  </w:style>
  <w:style w:type="paragraph" w:styleId="7AutoList3">
    <w:name w:val="7AutoList3"/>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0"/>
      <w:lang w:val="en-US" w:bidi="ar-SA" w:eastAsia="zh-CN"/>
    </w:rPr>
  </w:style>
  <w:style w:type="paragraph" w:styleId="8AutoList3">
    <w:name w:val="8AutoList3"/>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0"/>
      <w:lang w:val="en-US" w:bidi="ar-SA" w:eastAsia="zh-CN"/>
    </w:rPr>
  </w:style>
  <w:style w:type="paragraph" w:styleId="1AutoList2">
    <w:name w:val="1AutoList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2">
    <w:name w:val="2AutoList2"/>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2">
    <w:name w:val="3AutoList2"/>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0"/>
      <w:lang w:val="en-US" w:bidi="ar-SA" w:eastAsia="zh-CN"/>
    </w:rPr>
  </w:style>
  <w:style w:type="paragraph" w:styleId="4AutoList2">
    <w:name w:val="4AutoList2"/>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0"/>
      <w:lang w:val="en-US" w:bidi="ar-SA" w:eastAsia="zh-C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0"/>
      <w:lang w:val="en-US" w:bidi="ar-SA" w:eastAsia="zh-C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0"/>
      <w:lang w:val="en-US" w:bidi="ar-SA" w:eastAsia="zh-C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0"/>
      <w:lang w:val="en-US" w:bidi="ar-SA" w:eastAsia="zh-C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0"/>
      <w:lang w:val="en-US" w:bidi="ar-SA" w:eastAsia="zh-CN"/>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
    <w:name w:val="2AutoList1"/>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AutoList1">
    <w:name w:val="3AutoList1"/>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0"/>
      <w:lang w:val="en-US" w:bidi="ar-SA" w:eastAsia="zh-CN"/>
    </w:rPr>
  </w:style>
  <w:style w:type="paragraph" w:styleId="4AutoList1">
    <w:name w:val="4AutoList1"/>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0"/>
      <w:lang w:val="en-US" w:bidi="ar-SA" w:eastAsia="zh-C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0"/>
      <w:lang w:val="en-US" w:bidi="ar-SA" w:eastAsia="zh-C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0"/>
      <w:lang w:val="en-US" w:bidi="ar-SA" w:eastAsia="zh-C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0"/>
      <w:lang w:val="en-US" w:bidi="ar-SA" w:eastAsia="zh-C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b/>
      <w:bCs/>
    </w:rPr>
  </w:style>
  <w:style w:type="paragraph" w:styleId="Footer">
    <w:name w:val="footer"/>
    <w:basedOn w:val="Normal"/>
    <w:pPr>
      <w:tabs>
        <w:tab w:val="clear" w:pos="720"/>
        <w:tab w:val="center" w:pos="4320" w:leader="none"/>
        <w:tab w:val="right" w:pos="8640" w:leader="none"/>
      </w:tabs>
    </w:pPr>
    <w:rPr/>
  </w:style>
  <w:style w:type="paragraph" w:styleId="SectionTitle">
    <w:name w:val="Section Title"/>
    <w:basedOn w:val="Normal"/>
    <w:next w:val="Normal"/>
    <w:qFormat/>
    <w:pPr>
      <w:widowControl/>
      <w:pBdr>
        <w:top w:val="single" w:sz="6" w:space="2" w:color="FFFFFF"/>
        <w:left w:val="single" w:sz="6" w:space="2" w:color="FFFFFF"/>
        <w:bottom w:val="single" w:sz="6" w:space="2" w:color="FFFFFF"/>
        <w:right w:val="single" w:sz="6" w:space="2" w:color="FFFFFF"/>
      </w:pBdr>
      <w:shd w:fill="E5E5E5" w:val="clear"/>
      <w:spacing w:lineRule="atLeast" w:line="280" w:before="120" w:after="0"/>
    </w:pPr>
    <w:rPr>
      <w:rFonts w:ascii="Arial" w:hAnsi="Arial" w:cs="Arial"/>
      <w:b/>
      <w:spacing w:val="-10"/>
    </w:rPr>
  </w:style>
  <w:style w:type="paragraph" w:styleId="Objective">
    <w:name w:val="Objective"/>
    <w:basedOn w:val="Normal"/>
    <w:next w:val="BodyText"/>
    <w:qFormat/>
    <w:pPr>
      <w:widowControl/>
      <w:spacing w:lineRule="atLeast" w:line="220" w:before="220" w:after="220"/>
    </w:pPr>
    <w:rPr/>
  </w:style>
  <w:style w:type="paragraph" w:styleId="Subtitle">
    <w:name w:val="Subtitle"/>
    <w:basedOn w:val="Normal"/>
    <w:next w:val="BodyText"/>
    <w:qFormat/>
    <w:pPr>
      <w:jc w:val="center"/>
    </w:pPr>
    <w:rPr>
      <w:b/>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2001-04-02T00:22:00Z</dcterms:created>
  <dc:creator>Moses</dc:creator>
  <dc:description/>
  <dc:language>en-CA</dc:language>
  <cp:lastModifiedBy>MMoses</cp:lastModifiedBy>
  <cp:lastPrinted>2001-03-29T13:07:00Z</cp:lastPrinted>
  <dcterms:modified xsi:type="dcterms:W3CDTF">2001-04-02T03:32:00Z</dcterms:modified>
  <cp:revision>5</cp:revision>
  <dc:subject/>
  <dc:title>MATHEW R</dc:title>
</cp:coreProperties>
</file>