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pPr>
      <w:r>
        <w:rPr/>
      </w:r>
    </w:p>
    <w:p>
      <w:pPr>
        <w:pStyle w:val="Heading2"/>
        <w:ind w:hanging="0" w:start="0"/>
        <w:rPr/>
      </w:pPr>
      <w:r>
        <w:rPr/>
        <w:t>ENRON GAS PIPELINE GROUP</w:t>
        <w:tab/>
      </w:r>
    </w:p>
    <w:p>
      <w:pPr>
        <w:pStyle w:val="Normal"/>
        <w:rPr>
          <w:b/>
          <w:sz w:val="44"/>
        </w:rPr>
      </w:pPr>
      <w:r>
        <w:rPr>
          <w:b/>
          <w:sz w:val="44"/>
        </w:rPr>
      </w:r>
    </w:p>
    <w:p>
      <w:pPr>
        <w:pStyle w:val="Heading1"/>
        <w:ind w:hanging="0" w:start="0" w:end="936"/>
        <w:rPr>
          <w:sz w:val="30"/>
        </w:rPr>
      </w:pPr>
      <w:r>
        <w:rPr>
          <w:sz w:val="30"/>
        </w:rPr>
        <w:t>INTEROFFICE MEMORANDUM</w:t>
      </w:r>
    </w:p>
    <w:p>
      <w:pPr>
        <w:pStyle w:val="Normal"/>
        <w:tabs>
          <w:tab w:val="left" w:pos="0" w:leader="none"/>
          <w:tab w:val="left" w:pos="540" w:leader="none"/>
          <w:tab w:val="left" w:pos="720" w:leader="none"/>
          <w:tab w:val="left" w:pos="1440" w:leader="none"/>
          <w:tab w:val="left" w:pos="2160" w:leader="none"/>
          <w:tab w:val="left" w:pos="3456" w:leader="none"/>
          <w:tab w:val="left" w:pos="6816" w:leader="none"/>
          <w:tab w:val="left" w:pos="7200" w:leader="none"/>
        </w:tabs>
        <w:suppressAutoHyphens w:val="true"/>
        <w:rPr>
          <w:b/>
          <w:i/>
          <w:i/>
          <w:smallCaps/>
          <w:spacing w:val="-3"/>
          <w:sz w:val="26"/>
        </w:rPr>
      </w:pPr>
      <w:r>
        <w:rPr>
          <w:b/>
          <w:i/>
          <w:smallCaps/>
          <w:spacing w:val="-3"/>
          <w:sz w:val="26"/>
        </w:rPr>
      </w:r>
    </w:p>
    <w:p>
      <w:pPr>
        <w:pStyle w:val="Normal"/>
        <w:tabs>
          <w:tab w:val="left" w:pos="0" w:leader="none"/>
          <w:tab w:val="left" w:pos="540" w:leader="none"/>
          <w:tab w:val="left" w:pos="720" w:leader="none"/>
          <w:tab w:val="left" w:pos="1440" w:leader="none"/>
          <w:tab w:val="left" w:pos="2160" w:leader="none"/>
          <w:tab w:val="left" w:pos="6210" w:leader="none"/>
          <w:tab w:val="left" w:pos="7200" w:leader="none"/>
        </w:tabs>
        <w:suppressAutoHyphens w:val="true"/>
        <w:rPr>
          <w:spacing w:val="-2"/>
        </w:rPr>
      </w:pPr>
      <w:r>
        <w:rPr>
          <w:smallCaps/>
          <w:spacing w:val="-2"/>
        </w:rPr>
        <w:t>To:</w:t>
        <w:tab/>
      </w:r>
      <w:r>
        <w:rPr>
          <w:spacing w:val="-2"/>
          <w:sz w:val="22"/>
        </w:rPr>
        <w:tab/>
        <w:tab/>
        <w:t>Mike Moran</w:t>
      </w:r>
      <w:r>
        <w:rPr>
          <w:b/>
          <w:smallCaps/>
          <w:spacing w:val="-2"/>
        </w:rPr>
        <w:tab/>
      </w:r>
      <w:r>
        <w:rPr>
          <w:smallCaps/>
          <w:spacing w:val="-2"/>
        </w:rPr>
        <w:t>Date:</w:t>
        <w:tab/>
      </w:r>
      <w:r>
        <w:rPr>
          <w:b/>
          <w:smallCaps/>
          <w:spacing w:val="-2"/>
        </w:rPr>
        <w:t xml:space="preserve"> </w:t>
      </w:r>
      <w:r>
        <w:rPr>
          <w:spacing w:val="-2"/>
          <w:sz w:val="22"/>
        </w:rPr>
        <w:fldChar w:fldCharType="begin"/>
      </w:r>
      <w:r>
        <w:rPr>
          <w:sz w:val="22"/>
          <w:spacing w:val="-2"/>
        </w:rPr>
        <w:instrText xml:space="preserve"> DATE \@"MMMM\ d', 'yyyy" </w:instrText>
      </w:r>
      <w:r>
        <w:rPr>
          <w:sz w:val="22"/>
          <w:spacing w:val="-2"/>
        </w:rPr>
        <w:fldChar w:fldCharType="separate"/>
      </w:r>
      <w:r>
        <w:rPr>
          <w:sz w:val="22"/>
          <w:spacing w:val="-2"/>
        </w:rPr>
        <w:t>September 28, 2025</w:t>
      </w:r>
      <w:r>
        <w:rPr>
          <w:sz w:val="22"/>
          <w:spacing w:val="-2"/>
        </w:rPr>
        <w:fldChar w:fldCharType="end"/>
      </w:r>
    </w:p>
    <w:p>
      <w:pPr>
        <w:pStyle w:val="Normal"/>
        <w:tabs>
          <w:tab w:val="left" w:pos="0" w:leader="none"/>
          <w:tab w:val="left" w:pos="540" w:leader="none"/>
          <w:tab w:val="left" w:pos="720" w:leader="none"/>
          <w:tab w:val="left" w:pos="1440" w:leader="none"/>
          <w:tab w:val="left" w:pos="2160" w:leader="none"/>
          <w:tab w:val="left" w:pos="3456" w:leader="none"/>
          <w:tab w:val="left" w:pos="6816" w:leader="none"/>
          <w:tab w:val="left" w:pos="7200" w:leader="none"/>
        </w:tabs>
        <w:suppressAutoHyphens w:val="true"/>
        <w:rPr>
          <w:b/>
          <w:smallCaps/>
          <w:spacing w:val="-2"/>
        </w:rPr>
      </w:pPr>
      <w:r>
        <w:rPr>
          <w:b/>
          <w:smallCaps/>
          <w:spacing w:val="-2"/>
        </w:rPr>
      </w:r>
    </w:p>
    <w:p>
      <w:pPr>
        <w:pStyle w:val="Normal"/>
        <w:tabs>
          <w:tab w:val="left" w:pos="0" w:leader="none"/>
          <w:tab w:val="left" w:pos="540" w:leader="none"/>
          <w:tab w:val="left" w:pos="720" w:leader="none"/>
          <w:tab w:val="left" w:pos="1440" w:leader="none"/>
          <w:tab w:val="left" w:pos="2160" w:leader="none"/>
          <w:tab w:val="left" w:pos="3456" w:leader="none"/>
          <w:tab w:val="left" w:pos="6210" w:leader="none"/>
          <w:tab w:val="left" w:pos="7200" w:leader="none"/>
        </w:tabs>
        <w:suppressAutoHyphens w:val="true"/>
        <w:rPr>
          <w:spacing w:val="-2"/>
        </w:rPr>
      </w:pPr>
      <w:r>
        <w:rPr>
          <w:smallCaps/>
          <w:spacing w:val="-2"/>
        </w:rPr>
        <w:t>From:</w:t>
      </w:r>
      <w:r>
        <w:rPr>
          <w:spacing w:val="-2"/>
        </w:rPr>
        <w:tab/>
        <w:tab/>
      </w:r>
      <w:r>
        <w:rPr>
          <w:spacing w:val="-2"/>
          <w:sz w:val="22"/>
        </w:rPr>
        <w:t>Lou Soldano</w:t>
      </w:r>
      <w:r>
        <w:rPr>
          <w:spacing w:val="-2"/>
        </w:rPr>
        <w:tab/>
        <w:tab/>
      </w:r>
      <w:r>
        <w:rPr>
          <w:smallCaps/>
          <w:spacing w:val="-2"/>
        </w:rPr>
        <w:t>Dept</w:t>
      </w:r>
      <w:r>
        <w:rPr>
          <w:smallCaps/>
          <w:spacing w:val="-2"/>
          <w:sz w:val="22"/>
        </w:rPr>
        <w:t>:</w:t>
      </w:r>
      <w:r>
        <w:rPr>
          <w:spacing w:val="-2"/>
          <w:sz w:val="22"/>
        </w:rPr>
        <w:t xml:space="preserve">  </w:t>
        <w:tab/>
        <w:t xml:space="preserve"> EGPG - Legal</w:t>
      </w:r>
    </w:p>
    <w:p>
      <w:pPr>
        <w:pStyle w:val="Footer"/>
        <w:tabs>
          <w:tab w:val="clear" w:pos="4320"/>
          <w:tab w:val="clear" w:pos="8640"/>
          <w:tab w:val="left" w:pos="0" w:leader="none"/>
          <w:tab w:val="left" w:pos="540" w:leader="none"/>
          <w:tab w:val="left" w:pos="720" w:leader="none"/>
          <w:tab w:val="left" w:pos="1440" w:leader="none"/>
          <w:tab w:val="left" w:pos="2160" w:leader="none"/>
          <w:tab w:val="left" w:pos="3456" w:leader="none"/>
          <w:tab w:val="left" w:pos="6300" w:leader="none"/>
          <w:tab w:val="left" w:pos="7200" w:leader="none"/>
        </w:tabs>
        <w:suppressAutoHyphens w:val="true"/>
        <w:rPr>
          <w:spacing w:val="-2"/>
        </w:rPr>
      </w:pPr>
      <w:r>
        <w:rPr>
          <w:spacing w:val="-2"/>
        </w:rPr>
      </w:r>
    </w:p>
    <w:p>
      <w:pPr>
        <w:pStyle w:val="Normal"/>
        <w:pBdr>
          <w:bottom w:val="single" w:sz="12" w:space="1" w:color="000000"/>
        </w:pBdr>
        <w:rPr>
          <w:spacing w:val="-2"/>
          <w:sz w:val="22"/>
        </w:rPr>
      </w:pPr>
      <w:r>
        <w:rPr>
          <w:smallCaps/>
          <w:spacing w:val="-2"/>
        </w:rPr>
        <w:t>Subject:</w:t>
      </w:r>
      <w:r>
        <w:rPr>
          <w:spacing w:val="-2"/>
        </w:rPr>
        <w:tab/>
        <w:t>Navajo Nation Settlement Negotiations</w:t>
      </w:r>
    </w:p>
    <w:p>
      <w:pPr>
        <w:pStyle w:val="Normal"/>
        <w:rPr>
          <w:spacing w:val="-2"/>
          <w:sz w:val="22"/>
        </w:rPr>
      </w:pPr>
      <w:r>
        <w:rPr>
          <w:spacing w:val="-2"/>
          <w:sz w:val="22"/>
        </w:rPr>
      </w:r>
    </w:p>
    <w:p>
      <w:pPr>
        <w:pStyle w:val="Heading4"/>
        <w:ind w:hanging="0" w:start="0" w:end="576"/>
        <w:rPr/>
      </w:pPr>
      <w:r>
        <w:rPr/>
        <w:t>Privileged and Confidential</w:t>
      </w:r>
    </w:p>
    <w:p>
      <w:pPr>
        <w:pStyle w:val="Heading4"/>
        <w:ind w:hanging="0" w:start="0" w:end="576"/>
        <w:rPr/>
      </w:pPr>
      <w:r>
        <w:rPr/>
        <w:t>Attorney/Client Communication</w:t>
      </w:r>
    </w:p>
    <w:p>
      <w:pPr>
        <w:pStyle w:val="Normal"/>
        <w:ind w:end="576"/>
        <w:jc w:val="center"/>
        <w:rPr>
          <w:smallCaps/>
        </w:rPr>
      </w:pPr>
      <w:r>
        <w:rPr>
          <w:smallCaps/>
        </w:rPr>
      </w:r>
    </w:p>
    <w:p>
      <w:pPr>
        <w:pStyle w:val="Normal"/>
        <w:ind w:end="576"/>
        <w:jc w:val="both"/>
        <w:rPr/>
      </w:pPr>
      <w:r>
        <w:rPr>
          <w:smallCaps/>
        </w:rPr>
        <w:tab/>
      </w:r>
      <w:r>
        <w:rPr/>
        <w:t>On June 27, 2000, Transwestern representatives (Harris - who was introduced as a permanent member of Transwestern’s negotiating team, Soldano and McGee) met with a portion of the NNERTF (Trujillo, Tapahe, Das, Zaman and a new member, Frank Nez, Jr., Director of Business Regulatory Development).  After initial introductions Trujillo explained that the full Task Force would meet only once a month and Transwestern should expect to meet with subcommittees or working groups as the Task Force has found this to be much more efficient.</w:t>
      </w:r>
    </w:p>
    <w:p>
      <w:pPr>
        <w:pStyle w:val="Normal"/>
        <w:ind w:end="576"/>
        <w:jc w:val="both"/>
        <w:rPr/>
      </w:pPr>
      <w:r>
        <w:rPr/>
      </w:r>
    </w:p>
    <w:p>
      <w:pPr>
        <w:pStyle w:val="Normal"/>
        <w:ind w:end="576"/>
        <w:jc w:val="both"/>
        <w:rPr/>
      </w:pPr>
      <w:r>
        <w:rPr/>
        <w:tab/>
        <w:t>Transwestern was asked if it had time to analyze the Task Force letter of June 22, 2000.  Transwestern requested Zaman to briefly review the contents of the offer.  Zaman described the offer and attached no particular significance to any of the elements of the offer.  Transwestern confirmed that the offer represented a series of payments valued at approximately $34 million (in year 2000 dollars) plus additional payments based upon transportation volumes.</w:t>
      </w:r>
    </w:p>
    <w:p>
      <w:pPr>
        <w:pStyle w:val="Normal"/>
        <w:ind w:end="576"/>
        <w:jc w:val="both"/>
        <w:rPr/>
      </w:pPr>
      <w:r>
        <w:rPr/>
      </w:r>
    </w:p>
    <w:p>
      <w:pPr>
        <w:pStyle w:val="Normal"/>
        <w:ind w:end="576"/>
        <w:jc w:val="both"/>
        <w:rPr/>
      </w:pPr>
      <w:r>
        <w:rPr/>
        <w:tab/>
        <w:t>A lengthy discussion lead by Harris ensued regarding the economics of the Transwestern system, flow patterns on Transwestern and El Paso and transportation issues generally.  Transwestern expressed concern over a flat transportation fee with high minimum payments regardless of transportation margins.  Potential market development was discussed.  Transwestern expressed concern that any ultimate settlement include a most favored nations clause for any arrangement with El Paso.  The Task Force may not have understood Transwestern’s concern since they simply did not see how El Paso would be paying any less than Transwestern under any circumstances.  (Of note is the fact that El Paso has not approached the Nation regarding its renewal.).</w:t>
      </w:r>
    </w:p>
    <w:p>
      <w:pPr>
        <w:pStyle w:val="Normal"/>
        <w:ind w:end="576"/>
        <w:jc w:val="both"/>
        <w:rPr/>
      </w:pPr>
      <w:r>
        <w:rPr/>
      </w:r>
    </w:p>
    <w:p>
      <w:pPr>
        <w:pStyle w:val="Normal"/>
        <w:ind w:end="576"/>
        <w:jc w:val="both"/>
        <w:rPr/>
      </w:pPr>
      <w:r>
        <w:rPr/>
        <w:tab/>
        <w:t>Soldano made a presentation describing certain factors influencing Transwestern’s sense of urgency and overall offers to the Nation – the ability to acquire a permanent easement without any terms or conditions under the NGA for the appraised value of $1.3 million and the ability to acquire a grant from the DOI without the consent of a non-IRA Tribe under the 1948 Right-of-Way Act for the appraised value.  Soldano was careful to impress upon the Task Force the tremendous time pressures facing Transwestern to conclude such actions in the United States Supreme Court prior to the expiration of the current ROW grant.  Transwestern was also careful to impress upon the Task Force Transwestern’s desire to continue the negotiations which were making some progress despite the fact that the two sides are very far apart at this time.</w:t>
      </w:r>
    </w:p>
    <w:p>
      <w:pPr>
        <w:pStyle w:val="Normal"/>
        <w:ind w:end="576"/>
        <w:jc w:val="both"/>
        <w:rPr/>
      </w:pPr>
      <w:r>
        <w:rPr/>
      </w:r>
    </w:p>
    <w:p>
      <w:pPr>
        <w:pStyle w:val="Normal"/>
        <w:ind w:end="576"/>
        <w:jc w:val="both"/>
        <w:rPr/>
      </w:pPr>
      <w:r>
        <w:rPr/>
        <w:tab/>
        <w:t>The opportunity presented itself several times to stress that this course of action was not intended to be a threat or a form of intimidation.  It was necessary in order to protect Transwestern from holding an untenable position if negotiations failed.  Only the new member, Nez, initially seemed concerned with the concept of continuing negotiations while a litigation process was pursued.  However, once Nez voiced his objections, the other Task Force members voiced the same concerns in an increasing hostile manner.  At one point, Zaman suggested Tapahe file suit against Transwestern now and that the Nation request the BIA to reject Transwestern’s application.  Overall, there appeared to be some genuine concern over litigation although for the most part the concerns raised appeared to be for show.  At one point Tapahe even described for her colleagues that litigation could often facilitate negotiation.</w:t>
      </w:r>
    </w:p>
    <w:p>
      <w:pPr>
        <w:pStyle w:val="Normal"/>
        <w:ind w:end="576"/>
        <w:jc w:val="both"/>
        <w:rPr/>
      </w:pPr>
      <w:r>
        <w:rPr/>
      </w:r>
    </w:p>
    <w:p>
      <w:pPr>
        <w:pStyle w:val="Normal"/>
        <w:ind w:end="576"/>
        <w:jc w:val="both"/>
        <w:rPr/>
      </w:pPr>
      <w:r>
        <w:rPr/>
        <w:tab/>
        <w:t xml:space="preserve">This dialog prompted a discussion of two items:  (1)  the Nation’s standard terms and conditions, and (2) a deal on compensation.  Tapahe voiced the opinion that Transwestern should indicate if it would accept the Nation’s terms (which she would recommend to the Task Force as non-negotiable) in any response to the Nation’s most recent offer.  Zaman and Trujillo overruled this approach as they believe an agreement on compensation will drive the lawyers on both sides to find common ground on remaining terms. </w:t>
      </w:r>
    </w:p>
    <w:p>
      <w:pPr>
        <w:pStyle w:val="Normal"/>
        <w:ind w:end="576"/>
        <w:jc w:val="both"/>
        <w:rPr/>
      </w:pPr>
      <w:r>
        <w:rPr/>
      </w:r>
    </w:p>
    <w:p>
      <w:pPr>
        <w:pStyle w:val="Normal"/>
        <w:ind w:end="576"/>
        <w:jc w:val="both"/>
        <w:rPr/>
      </w:pPr>
      <w:r>
        <w:rPr/>
        <w:tab/>
        <w:t>It also became apparent that Trujillo and Zaman have a number in mind between Transwestern’s $15 million and the Task Force’s $34 million that will resolve the compensation issue. They want to arrange a meeting to engage in some true “horse trading” to achieve a number.  When questioned, Transwestern indicated it did not have a time frame for a response but it would be less than one month.  The full Task Force meets next on July 14</w:t>
      </w:r>
      <w:r>
        <w:rPr>
          <w:vertAlign w:val="superscript"/>
        </w:rPr>
        <w:t>th</w:t>
      </w:r>
      <w:r>
        <w:rPr/>
        <w:t>.</w:t>
      </w:r>
    </w:p>
    <w:p>
      <w:pPr>
        <w:pStyle w:val="Normal"/>
        <w:ind w:end="576"/>
        <w:jc w:val="both"/>
        <w:rPr/>
      </w:pPr>
      <w:r>
        <w:rPr/>
      </w:r>
    </w:p>
    <w:p>
      <w:pPr>
        <w:pStyle w:val="Normal"/>
        <w:ind w:end="576"/>
        <w:jc w:val="both"/>
        <w:rPr/>
      </w:pPr>
      <w:r>
        <w:rPr/>
        <w:tab/>
        <w:t>The meeting closed with comments by Trujillo appreciating Transwestern’s candor and attention, assuring Transwestern that the Task Force would give this matter its highest priority.  Responses by the Task Force would be timely – no delays like the last 3-1/2 months as they had undergone a reorganization -- and that Transwestern and the Nation should be able to reach an agreement if both sides spent the time and effort on the project as the Nation was fully prepared to do.</w:t>
      </w:r>
    </w:p>
    <w:p>
      <w:pPr>
        <w:pStyle w:val="Normal"/>
        <w:ind w:end="576"/>
        <w:jc w:val="both"/>
        <w:rPr/>
      </w:pPr>
      <w:r>
        <w:rPr/>
      </w:r>
    </w:p>
    <w:p>
      <w:pPr>
        <w:pStyle w:val="Normal"/>
        <w:ind w:end="576"/>
        <w:jc w:val="both"/>
        <w:rPr/>
      </w:pPr>
      <w:r>
        <w:rPr/>
        <w:tab/>
        <w:t>On the whole, it was a good, necessary meeting even if it was somewhat difficult.  The Task Force apparently has some figure in mind between $15 million and $34 million to conclude a six-year deal.  The working relationship with the Task Force was not impaired as a result of the discussions.  The Nation’s terms and conditions continue to be a major issue.</w:t>
      </w:r>
    </w:p>
    <w:p>
      <w:pPr>
        <w:pStyle w:val="Normal"/>
        <w:ind w:end="576"/>
        <w:jc w:val="both"/>
        <w:rPr/>
      </w:pPr>
      <w:r>
        <w:rPr/>
      </w:r>
    </w:p>
    <w:p>
      <w:pPr>
        <w:pStyle w:val="Normal"/>
        <w:tabs>
          <w:tab w:val="clear" w:pos="540"/>
        </w:tabs>
        <w:jc w:val="both"/>
        <w:rPr>
          <w:sz w:val="20"/>
        </w:rPr>
      </w:pPr>
      <w:r>
        <w:rPr>
          <w:sz w:val="20"/>
        </w:rPr>
        <w:t>LPS:jc</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20"/>
        </w:rPr>
      </w:pPr>
      <w:r>
        <w:rPr>
          <w:sz w:val="20"/>
        </w:rPr>
        <w:t>cc:</w:t>
        <w:tab/>
        <w:t>Stan Horton</w:t>
        <w:tab/>
        <w:tab/>
        <w:t>Jim Derrick</w:t>
        <w:tab/>
        <w:tab/>
        <w:t>Bill Cordes</w:t>
        <w:tab/>
        <w:tab/>
        <w:t>Phil Lowry</w:t>
      </w:r>
    </w:p>
    <w:p>
      <w:pPr>
        <w:pStyle w:val="Normal"/>
        <w:tabs>
          <w:tab w:val="clear" w:pos="540"/>
        </w:tabs>
        <w:jc w:val="both"/>
        <w:rPr>
          <w:sz w:val="20"/>
        </w:rPr>
      </w:pPr>
      <w:r>
        <w:rPr>
          <w:sz w:val="20"/>
        </w:rPr>
        <w:tab/>
        <w:t>Shelley Corman</w:t>
        <w:tab/>
        <w:tab/>
        <w:t>Mike Nelson</w:t>
        <w:tab/>
        <w:tab/>
        <w:t>Johnny McGee</w:t>
        <w:tab/>
        <w:tab/>
        <w:t>Steven Harris</w:t>
      </w:r>
    </w:p>
    <w:p>
      <w:pPr>
        <w:pStyle w:val="Normal"/>
        <w:tabs>
          <w:tab w:val="clear" w:pos="540"/>
        </w:tabs>
        <w:jc w:val="both"/>
        <w:rPr>
          <w:sz w:val="20"/>
        </w:rPr>
      </w:pPr>
      <w:r>
        <w:rPr>
          <w:sz w:val="20"/>
        </w:rPr>
        <w:tab/>
        <w:t>Tim Aron</w:t>
        <w:tab/>
        <w:tab/>
        <w:t>Lynn Slade</w:t>
        <w:tab/>
        <w:tab/>
        <w:t>Larry Ruzow</w:t>
        <w:tab/>
        <w:tab/>
        <w:t>Jim McCartney</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/mnt/main-storage/datasets/enron-docs/doc/MM_settneg.doc</w:t>
      </w:r>
      <w:r>
        <w:rPr>
          <w:sz w:val="16"/>
          <w:lang w:eastAsia="en-US"/>
        </w:rPr>
        <w:fldChar w:fldCharType="end"/>
      </w:r>
    </w:p>
    <w:p>
      <w:pPr>
        <w:pStyle w:val="Normal"/>
        <w:ind w:end="576"/>
        <w:jc w:val="both"/>
        <w:rPr>
          <w:sz w:val="16"/>
        </w:rPr>
      </w:pPr>
      <w:r>
        <w:rPr>
          <w:sz w:val="16"/>
        </w:rPr>
      </w:r>
    </w:p>
    <w:sectPr>
      <w:headerReference w:type="default" r:id="rId3"/>
      <w:headerReference w:type="first" r:id="rId4"/>
      <w:type w:val="nextPage"/>
      <w:pgSz w:w="12240" w:h="15840"/>
      <w:pgMar w:left="720" w:right="864" w:gutter="0" w:header="720" w:top="776" w:footer="0"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w:t>
    </w:r>
  </w:p>
  <w:p>
    <w:pPr>
      <w:pStyle w:val="Header"/>
      <w:rPr/>
    </w:pPr>
    <w:r>
      <w:rPr/>
      <w:t>June 28,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b/>
      <w:smallCap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2000-06-28T22:56:00Z</dcterms:created>
  <dc:creator>Lou Soldano</dc:creator>
  <dc:description/>
  <dc:language>en-CA</dc:language>
  <cp:lastModifiedBy>ET&amp;S LAN Support</cp:lastModifiedBy>
  <cp:lastPrinted>2000-06-28T14:32:00Z</cp:lastPrinted>
  <dcterms:modified xsi:type="dcterms:W3CDTF">2000-06-28T22:56:00Z</dcterms:modified>
  <cp:revision>2</cp:revision>
  <dc:subject/>
  <dc:title> 	</dc:title>
</cp:coreProperties>
</file>