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The Determination of Maximum Market Clearing Price</w:t>
      </w:r>
    </w:p>
    <w:p>
      <w:pPr>
        <w:pStyle w:val="Normal"/>
        <w:rPr/>
      </w:pPr>
      <w:r>
        <w:rPr/>
      </w:r>
    </w:p>
    <w:p>
      <w:pPr>
        <w:pStyle w:val="Normal"/>
        <w:jc w:val="center"/>
        <w:rPr>
          <w:rFonts w:ascii="Arial" w:hAnsi="Arial" w:cs="Arial"/>
          <w:b/>
          <w:sz w:val="28"/>
        </w:rPr>
      </w:pPr>
      <w:r>
        <w:rPr>
          <w:rFonts w:cs="Arial" w:ascii="Arial" w:hAnsi="Arial"/>
          <w:b/>
          <w:sz w:val="28"/>
        </w:rPr>
        <w:t>November 23, 2000</w:t>
      </w:r>
    </w:p>
    <w:p>
      <w:pPr>
        <w:pStyle w:val="Normal"/>
        <w:rPr>
          <w:rFonts w:ascii="Arial" w:hAnsi="Arial" w:cs="Arial"/>
          <w:b/>
          <w:sz w:val="28"/>
          <w:lang w:val="en-CA" w:eastAsia="en-CA"/>
        </w:rPr>
      </w:pPr>
      <w:r>
        <w:rPr>
          <w:rFonts w:cs="Arial" w:ascii="Arial" w:hAnsi="Arial"/>
          <w:b/>
          <w:sz w:val="28"/>
          <w:lang w:val="en-CA" w:eastAsia="en-CA"/>
        </w:rPr>
        <mc:AlternateContent>
          <mc:Choice Requires="wps">
            <w:drawing>
              <wp:anchor behindDoc="0" distT="0" distB="0" distL="114935" distR="114935" simplePos="0" locked="0" layoutInCell="1" allowOverlap="1" relativeHeight="7">
                <wp:simplePos x="0" y="0"/>
                <wp:positionH relativeFrom="column">
                  <wp:posOffset>-45720</wp:posOffset>
                </wp:positionH>
                <wp:positionV relativeFrom="paragraph">
                  <wp:posOffset>121920</wp:posOffset>
                </wp:positionV>
                <wp:extent cx="5577840" cy="635"/>
                <wp:effectExtent l="635" t="5080" r="635" b="5080"/>
                <wp:wrapNone/>
                <wp:docPr id="1" name=""/>
                <a:graphic xmlns:a="http://schemas.openxmlformats.org/drawingml/2006/main">
                  <a:graphicData uri="http://schemas.microsoft.com/office/word/2010/wordprocessingShape">
                    <wps:wsp>
                      <wps:cNvSpPr/>
                      <wps:spPr>
                        <a:xfrm>
                          <a:off x="0" y="0"/>
                          <a:ext cx="557784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9.6pt" to="435.55pt,9.6pt" stroked="t" o:allowincell="f" style="position:absolute">
                <v:stroke color="black" weight="9360" joinstyle="miter" endcap="flat"/>
                <v:fill o:detectmouseclick="t" on="false"/>
                <w10:wrap type="none"/>
              </v:line>
            </w:pict>
          </mc:Fallback>
        </mc:AlternateContent>
      </w:r>
    </w:p>
    <w:p>
      <w:pPr>
        <w:pStyle w:val="BodyText2"/>
        <w:rPr/>
      </w:pPr>
      <w:r>
        <w:rPr/>
      </w:r>
    </w:p>
    <w:p>
      <w:pPr>
        <w:pStyle w:val="Normal"/>
        <w:numPr>
          <w:ilvl w:val="0"/>
          <w:numId w:val="8"/>
        </w:numPr>
        <w:jc w:val="both"/>
        <w:rPr>
          <w:rFonts w:ascii="Arial" w:hAnsi="Arial" w:cs="Arial"/>
          <w:sz w:val="22"/>
        </w:rPr>
      </w:pPr>
      <w:r>
        <w:rPr/>
        <w:t xml:space="preserve">The </w:t>
      </w:r>
      <w:r>
        <w:rPr>
          <w:rFonts w:cs="Arial" w:ascii="Arial" w:hAnsi="Arial"/>
          <w:sz w:val="22"/>
        </w:rPr>
        <w:t>only purpose for specifying a Maximum Market Clearing Price (“MMCP”) is to provide the dispatch algorithm with an upper (and lower) value in order that a solution is mathematically feasible.  It is not the purpose of MMCP to cap the real time spot market prices that might be realized in the Ontario market.  Accordingly, MMCP should be set at a level that will not in any way interfere with the operation of the market.  It should not be set at a level which effectively caps wholesale prices.</w:t>
      </w:r>
    </w:p>
    <w:p>
      <w:pPr>
        <w:pStyle w:val="Normal"/>
        <w:jc w:val="both"/>
        <w:rPr>
          <w:rFonts w:ascii="Arial" w:hAnsi="Arial" w:cs="Arial"/>
          <w:sz w:val="22"/>
        </w:rPr>
      </w:pPr>
      <w:r>
        <w:rPr>
          <w:rFonts w:cs="Arial" w:ascii="Arial" w:hAnsi="Arial"/>
          <w:sz w:val="22"/>
        </w:rPr>
      </w:r>
    </w:p>
    <w:p>
      <w:pPr>
        <w:pStyle w:val="Normal"/>
        <w:numPr>
          <w:ilvl w:val="0"/>
          <w:numId w:val="4"/>
        </w:numPr>
        <w:jc w:val="both"/>
        <w:rPr>
          <w:rFonts w:ascii="Arial" w:hAnsi="Arial" w:cs="Arial"/>
          <w:sz w:val="22"/>
        </w:rPr>
      </w:pPr>
      <w:r>
        <w:rPr>
          <w:rFonts w:cs="Arial" w:ascii="Arial" w:hAnsi="Arial"/>
          <w:sz w:val="22"/>
        </w:rPr>
        <w:t xml:space="preserve">In order to ensure that MMCP does not interfere with or distort the market and the market’s allocation of resources, MMCP should be set at a level </w:t>
      </w:r>
      <w:r>
        <w:rPr>
          <w:rFonts w:cs="Arial" w:ascii="Arial" w:hAnsi="Arial"/>
          <w:sz w:val="22"/>
          <w:u w:val="single"/>
        </w:rPr>
        <w:t>above</w:t>
      </w:r>
      <w:r>
        <w:rPr>
          <w:rFonts w:cs="Arial" w:ascii="Arial" w:hAnsi="Arial"/>
          <w:sz w:val="22"/>
        </w:rPr>
        <w:t xml:space="preserve"> the prices that one might expect to see in the market.  Setting MMCP at a lower level would be tantamount to imposing a cap on prices in the Ontario market. Imposing such a price cap would be a bad idea.</w:t>
      </w:r>
    </w:p>
    <w:p>
      <w:pPr>
        <w:pStyle w:val="Normal"/>
        <w:jc w:val="both"/>
        <w:rPr>
          <w:rFonts w:ascii="Arial" w:hAnsi="Arial" w:cs="Arial"/>
          <w:sz w:val="22"/>
        </w:rPr>
      </w:pPr>
      <w:r>
        <w:rPr>
          <w:rFonts w:cs="Arial" w:ascii="Arial" w:hAnsi="Arial"/>
          <w:sz w:val="22"/>
        </w:rPr>
      </w:r>
    </w:p>
    <w:p>
      <w:pPr>
        <w:pStyle w:val="Normal"/>
        <w:numPr>
          <w:ilvl w:val="0"/>
          <w:numId w:val="9"/>
        </w:numPr>
        <w:jc w:val="both"/>
        <w:rPr>
          <w:rFonts w:ascii="Arial" w:hAnsi="Arial" w:cs="Arial"/>
          <w:sz w:val="22"/>
        </w:rPr>
      </w:pPr>
      <w:r>
        <w:rPr>
          <w:rFonts w:cs="Arial" w:ascii="Arial" w:hAnsi="Arial"/>
          <w:sz w:val="22"/>
        </w:rPr>
        <w:t xml:space="preserve">Any discussion of prices in the IMO real time market must begin with the recognition that the IMO real time market is only </w:t>
      </w:r>
      <w:r>
        <w:rPr>
          <w:rFonts w:cs="Arial" w:ascii="Arial" w:hAnsi="Arial"/>
          <w:sz w:val="22"/>
          <w:u w:val="single"/>
        </w:rPr>
        <w:t>one</w:t>
      </w:r>
      <w:r>
        <w:rPr>
          <w:rFonts w:cs="Arial" w:ascii="Arial" w:hAnsi="Arial"/>
          <w:sz w:val="22"/>
        </w:rPr>
        <w:t xml:space="preserve"> of the Ontario marketplaces for energy.  Assuming that the procurement options open to loads and load serving entities are not artificially constrained, one would reasonably expect that a significant portion of the energy consumed in Ontario will be covered by forward contracts.  Those contracts serve to mitigate the exposure of the demand side (and, indeed, the supply side) to price risk.  (For instance, in the England &amp; Wales and Nordic markets, the portion of the market covered by contract is about 60-80 per cent).  Accordingly, in a competitive market, the spot price in any hour will not be representative of the average energy costs seen by most end-use customers: those average energy costs will be determined largely by contract rather than by the outcome of the IMO’s algorithm.</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In a competitive market, end-use consumers can and should be protected against high prices through appropriate commercial arrangements rather than through further regulatory measures such as price caps.  If the responsible authorities in Ontario are concerned about the exposure of Ontario consumers to high prices, then they should focus their efforts on removing the barriers to the use of risk management and other commercial arrangements.  In California, concern about volatility and high prices has arisen because the major load-serving entities – namely the incumbent distributors – operated under rules that restricted their ability to engage in forward contracts and thereby hedge price risk. The August 2000 Report of California ISO Department of Market Analysis observed as follows:</w:t>
      </w:r>
    </w:p>
    <w:p>
      <w:pPr>
        <w:pStyle w:val="Normal"/>
        <w:jc w:val="both"/>
        <w:rPr>
          <w:rFonts w:ascii="Arial" w:hAnsi="Arial" w:cs="Arial"/>
          <w:sz w:val="22"/>
        </w:rPr>
      </w:pPr>
      <w:r>
        <w:rPr>
          <w:rFonts w:cs="Arial" w:ascii="Arial" w:hAnsi="Arial"/>
          <w:sz w:val="22"/>
        </w:rPr>
      </w:r>
    </w:p>
    <w:p>
      <w:pPr>
        <w:pStyle w:val="BodyTextIndent3"/>
        <w:rPr/>
      </w:pPr>
      <w:r>
        <w:rPr/>
        <w:t>“</w:t>
      </w:r>
      <w:r>
        <w:rPr/>
        <w:t>An important feature of a fully developed commodity market is the ability of buyers and sellers to contract well in advance of the actual “date of delivery”.  Such ability provides for greater price discovery and enables both sides of the market to hedge against price volatility in the spot market.  Since the UDCs must supply their loads through the PX, the development of the PX block forward markets represent an important step in this direction.  However, the effectiveness of these markets are limited due to restrictions on the scope of their use by the UDCs.” (see pages 8-9)</w:t>
      </w:r>
      <w:r>
        <w:rPr>
          <w:rStyle w:val="FootnoteCharacters"/>
          <w:rStyle w:val="FootnoteReference"/>
        </w:rPr>
        <w:footnoteReference w:id="2"/>
      </w:r>
    </w:p>
    <w:p>
      <w:pPr>
        <w:pStyle w:val="BodyTextIndent3"/>
        <w:ind w:start="0" w:end="0"/>
        <w:rPr>
          <w:i w:val="false"/>
          <w:i w:val="false"/>
        </w:rPr>
      </w:pPr>
      <w:r>
        <w:rPr>
          <w:i w:val="false"/>
        </w:rPr>
      </w:r>
    </w:p>
    <w:p>
      <w:pPr>
        <w:pStyle w:val="BodyTextIndent3"/>
        <w:tabs>
          <w:tab w:val="clear" w:pos="720"/>
          <w:tab w:val="left" w:pos="360" w:leader="none"/>
        </w:tabs>
        <w:ind w:hanging="360" w:start="360" w:end="0"/>
        <w:rPr>
          <w:i w:val="false"/>
          <w:i w:val="false"/>
        </w:rPr>
      </w:pPr>
      <w:r>
        <w:rPr>
          <w:i w:val="false"/>
        </w:rPr>
        <w:tab/>
        <w:t>These observations are echoed in the comments by FERC Commissioner William L. Massey in a major address to the Electric Power Supply Association in late August 2000 about the steps that must be undertaken to restore confidence in U.S. power markets:</w:t>
      </w:r>
    </w:p>
    <w:p>
      <w:pPr>
        <w:pStyle w:val="BodyTextIndent3"/>
        <w:tabs>
          <w:tab w:val="clear" w:pos="720"/>
          <w:tab w:val="left" w:pos="360" w:leader="none"/>
        </w:tabs>
        <w:ind w:hanging="360" w:start="360" w:end="0"/>
        <w:rPr>
          <w:i w:val="false"/>
          <w:i w:val="false"/>
        </w:rPr>
      </w:pPr>
      <w:r>
        <w:rPr>
          <w:i w:val="false"/>
        </w:rPr>
      </w:r>
    </w:p>
    <w:p>
      <w:pPr>
        <w:pStyle w:val="BodyTextIndent3"/>
        <w:tabs>
          <w:tab w:val="clear" w:pos="720"/>
          <w:tab w:val="left" w:pos="360" w:leader="none"/>
        </w:tabs>
        <w:ind w:hanging="360" w:end="0"/>
        <w:rPr/>
      </w:pPr>
      <w:r>
        <w:rPr>
          <w:i w:val="false"/>
        </w:rPr>
        <w:tab/>
      </w:r>
      <w:r>
        <w:rPr/>
        <w:t>“Another area that needs attention is risk management. In some instances, especially in California, there seems to be an over reliance on the spot market.  Spot markets are almost by nature volatile.  While spot markets are appropriate as the venue in which to secure limited portions of needed supply, they should not be relied upon for most or all of the supply portfolio.  Yet in some instances the spot market is relied upon almost exclusively.  The painful results are almost predictable.  The lack of hedging or forward contracting may be due to regulatory restrictions, poor incentives or just plain ignorance.  Whatever the reason, regulators must ensure that everyone on the demand side of the market is appropriately incented or informed regarding hedging.  Surely a balanced portfolio of long-term and short-term supply is the goal of well-functioning markets.” (see page 6)</w:t>
      </w:r>
      <w:r>
        <w:rPr>
          <w:rStyle w:val="FootnoteCharacters"/>
          <w:rStyle w:val="FootnoteReference"/>
        </w:rPr>
        <w:footnoteReference w:id="3"/>
      </w:r>
      <w:r>
        <w:rPr/>
        <w:t xml:space="preserve"> </w:t>
      </w:r>
    </w:p>
    <w:p>
      <w:pPr>
        <w:pStyle w:val="Normal"/>
        <w:jc w:val="both"/>
        <w:rPr>
          <w:rFonts w:ascii="Arial" w:hAnsi="Arial" w:cs="Arial"/>
          <w:sz w:val="22"/>
        </w:rPr>
      </w:pPr>
      <w:r>
        <w:rPr>
          <w:rFonts w:cs="Arial" w:ascii="Arial" w:hAnsi="Arial"/>
          <w:sz w:val="22"/>
        </w:rPr>
      </w:r>
    </w:p>
    <w:p>
      <w:pPr>
        <w:pStyle w:val="BodyTextIndent2"/>
        <w:rPr/>
      </w:pPr>
      <w:r>
        <w:rPr/>
        <w:tab/>
        <w:t>Much of the concern about the potential for price volatility and price spikes in Ontario could be answered if the responsible authorities in Ontario heeded Commissioner Massey’s advice.</w:t>
      </w:r>
    </w:p>
    <w:p>
      <w:pPr>
        <w:pStyle w:val="BodyTextIndent2"/>
        <w:ind w:hanging="0" w:end="0"/>
        <w:rPr/>
      </w:pPr>
      <w:r>
        <w:rPr/>
      </w:r>
    </w:p>
    <w:p>
      <w:pPr>
        <w:pStyle w:val="BodyTextIndent2"/>
        <w:numPr>
          <w:ilvl w:val="0"/>
          <w:numId w:val="13"/>
        </w:numPr>
        <w:rPr/>
      </w:pPr>
      <w:r>
        <w:rPr/>
        <w:t>The strongest condemnation of rules that restrict market participants from engaging in formal contracts is found in the FERC’s November 1, 2000 order regarding the California market:</w:t>
      </w:r>
    </w:p>
    <w:p>
      <w:pPr>
        <w:pStyle w:val="BodyTextIndent2"/>
        <w:tabs>
          <w:tab w:val="clear" w:pos="360"/>
        </w:tabs>
        <w:ind w:hanging="0" w:start="0" w:end="0"/>
        <w:rPr/>
      </w:pPr>
      <w:r>
        <w:rPr/>
      </w:r>
    </w:p>
    <w:p>
      <w:pPr>
        <w:pStyle w:val="BodyTextIndent2"/>
        <w:tabs>
          <w:tab w:val="clear" w:pos="360"/>
        </w:tabs>
        <w:ind w:hanging="0" w:start="720" w:end="0"/>
        <w:rPr/>
      </w:pPr>
      <w:r>
        <w:rPr>
          <w:i/>
          <w:iCs/>
        </w:rPr>
        <w:t>“</w:t>
      </w:r>
      <w:r>
        <w:rPr>
          <w:i/>
          <w:iCs/>
        </w:rPr>
        <w:t>the single most important remedy that the California market needs, the Commission said, is the elimination of rules that prevent market participants from manging risk. Under California rules, the investor owned utilities were bidding up to 80 percent of their load into the day–ahead  and hour-ahead spot markets, creating substantial short-term cost exposure; they were unable to pursue a balanced portfolio, including long-term and intermediate contracts. Moving significant amounts of wholesale transactions into forward markets, the Commission said, will reduce reliance on spot markets thereby lessening the likelihood of price volatility; improve reliability, and increase the prospect of new generation because revenues will be more stable</w:t>
      </w:r>
      <w:r>
        <w:rPr>
          <w:rStyle w:val="FootnoteCharacters"/>
          <w:rStyle w:val="FootnoteReference"/>
          <w:i/>
          <w:iCs/>
        </w:rPr>
        <w:footnoteReference w:id="4"/>
      </w:r>
      <w:r>
        <w:rPr>
          <w:i/>
          <w:iCs/>
        </w:rPr>
        <w:t>.</w:t>
      </w:r>
    </w:p>
    <w:p>
      <w:pPr>
        <w:pStyle w:val="BodyTextIndent2"/>
        <w:tabs>
          <w:tab w:val="clear" w:pos="360"/>
        </w:tabs>
        <w:ind w:hanging="0" w:start="720" w:end="0"/>
        <w:rPr>
          <w:i/>
          <w:i/>
          <w:iCs/>
        </w:rPr>
      </w:pPr>
      <w:r>
        <w:rPr>
          <w:i/>
          <w:iCs/>
        </w:rPr>
      </w:r>
    </w:p>
    <w:p>
      <w:pPr>
        <w:pStyle w:val="BodyTextIndent2"/>
        <w:numPr>
          <w:ilvl w:val="0"/>
          <w:numId w:val="6"/>
        </w:numPr>
        <w:rPr/>
      </w:pPr>
      <w:r>
        <w:rPr/>
        <w:t>A price cap cannot be justified even as a temporary measure designed to protect customers during the early days of the Ontario market.  The Ontario market is already covered by a range of regulatory mechanisms designed to insulate customers from high prices and price volatility.  These measures include the Market Power Mitigation Agreement revenue cap/rebate scheme, the Standard Supply Service procurement and pricing rules, and the “transitional rates” mandated for eligible industrial customers.  In the face of these measures, there is little justification for even further interference in the market.</w:t>
      </w:r>
    </w:p>
    <w:p>
      <w:pPr>
        <w:pStyle w:val="BodyTextIndent2"/>
        <w:tabs>
          <w:tab w:val="clear" w:pos="360"/>
        </w:tabs>
        <w:rPr/>
      </w:pPr>
      <w:r>
        <w:rPr/>
      </w:r>
    </w:p>
    <w:p>
      <w:pPr>
        <w:pStyle w:val="Normal"/>
        <w:numPr>
          <w:ilvl w:val="0"/>
          <w:numId w:val="10"/>
        </w:numPr>
        <w:jc w:val="both"/>
        <w:rPr>
          <w:rFonts w:ascii="Arial" w:hAnsi="Arial" w:cs="Arial"/>
          <w:sz w:val="22"/>
        </w:rPr>
      </w:pPr>
      <w:r>
        <w:rPr>
          <w:rFonts w:cs="Arial" w:ascii="Arial" w:hAnsi="Arial"/>
          <w:sz w:val="22"/>
        </w:rPr>
        <w:t xml:space="preserve">Those who support price caps in Ontario and elsewhere commonly assert that the price caps are warranted because the demand side cannot respond to or mitigate price spikes: this ineleasticity of demand is seen as a “flaw” in the market justifying further regulatory interference.  In response to this assertion, two points should be made: </w:t>
      </w:r>
    </w:p>
    <w:p>
      <w:pPr>
        <w:pStyle w:val="Normal"/>
        <w:jc w:val="both"/>
        <w:rPr>
          <w:rFonts w:ascii="Arial" w:hAnsi="Arial" w:cs="Arial"/>
          <w:sz w:val="22"/>
        </w:rPr>
      </w:pPr>
      <w:r>
        <w:rPr>
          <w:rFonts w:cs="Arial" w:ascii="Arial" w:hAnsi="Arial"/>
          <w:sz w:val="22"/>
        </w:rPr>
      </w:r>
    </w:p>
    <w:p>
      <w:pPr>
        <w:pStyle w:val="Normal"/>
        <w:numPr>
          <w:ilvl w:val="0"/>
          <w:numId w:val="11"/>
        </w:numPr>
        <w:tabs>
          <w:tab w:val="clear" w:pos="720"/>
        </w:tabs>
        <w:ind w:hanging="360" w:start="900" w:end="0"/>
        <w:jc w:val="both"/>
        <w:rPr>
          <w:rFonts w:ascii="Arial" w:hAnsi="Arial" w:cs="Arial"/>
          <w:sz w:val="22"/>
        </w:rPr>
      </w:pPr>
      <w:r>
        <w:rPr>
          <w:rFonts w:cs="Arial" w:ascii="Arial" w:hAnsi="Arial"/>
          <w:sz w:val="22"/>
        </w:rPr>
        <w:t xml:space="preserve">The inelasticity of demand in a large part of the market is not a flaw in the market.  The inelasticity of demand – particularly among smaller customers – is a feature of the market that can be accommodated by load serving entities.  In a competitive market, consumers whose demand is inelastic should protect themselves through appropriate commercial arrangements rather than rely on further regulatory measures such as price caps.  Moreover, load serving entities can offer simple products – such as the “Powershift” product presently available in Toronto Hydro’s service area - which encourage customers to shift demand from peak to off-peak hours without the installation of expensive “smart home” gadgetry.  </w:t>
      </w:r>
    </w:p>
    <w:p>
      <w:pPr>
        <w:pStyle w:val="Normal"/>
        <w:ind w:start="720" w:end="0"/>
        <w:jc w:val="both"/>
        <w:rPr>
          <w:rFonts w:ascii="Arial" w:hAnsi="Arial" w:cs="Arial"/>
          <w:sz w:val="22"/>
        </w:rPr>
      </w:pPr>
      <w:r>
        <w:rPr>
          <w:rFonts w:cs="Arial" w:ascii="Arial" w:hAnsi="Arial"/>
          <w:sz w:val="22"/>
        </w:rPr>
      </w:r>
    </w:p>
    <w:p>
      <w:pPr>
        <w:pStyle w:val="Normal"/>
        <w:numPr>
          <w:ilvl w:val="0"/>
          <w:numId w:val="11"/>
        </w:numPr>
        <w:tabs>
          <w:tab w:val="clear" w:pos="720"/>
        </w:tabs>
        <w:ind w:hanging="360" w:start="900" w:end="0"/>
        <w:jc w:val="both"/>
        <w:rPr>
          <w:rFonts w:ascii="Arial" w:hAnsi="Arial" w:cs="Arial"/>
          <w:sz w:val="22"/>
        </w:rPr>
      </w:pPr>
      <w:r>
        <w:rPr>
          <w:rFonts w:cs="Arial" w:ascii="Arial" w:hAnsi="Arial"/>
          <w:sz w:val="22"/>
        </w:rPr>
        <w:t xml:space="preserve">We should reasonably anticipate that a commercially significant part of the Ontario market is in fact able to respond to marginal price signals.  Historically, any demand-side response has been low because average energy cost pricing was in place and few customers were exposed to marginal price signals.  However, in the new Ontario marketplace, with hourly spot pricing, we should reasonably expect increased demand-side price responsiveness, particularly by dispatchable industrial load.  Accordingly, only a relatively small amount of potential demand-side response, particularly by dispatchable industrial load, is needed in order to achieve competition at the margin sufficient to keep even  “super” peak period prices well below MMCP.  Ontario has gone much further than almost all other North American jurisdictions – including California and New York - towards incorporating dispatchable load into the market design.  (California is just now moving to incorporate the types of demand-side measures that will be part of the Ontario market from the outset).  Everything else being equal, this feature of the Ontario market should help mitigate price spikes.  </w:t>
      </w:r>
    </w:p>
    <w:p>
      <w:pPr>
        <w:pStyle w:val="Normal"/>
        <w:jc w:val="both"/>
        <w:rPr>
          <w:rFonts w:ascii="Arial" w:hAnsi="Arial" w:cs="Arial"/>
          <w:sz w:val="22"/>
        </w:rPr>
      </w:pPr>
      <w:r>
        <w:rPr>
          <w:rFonts w:cs="Arial" w:ascii="Arial" w:hAnsi="Arial"/>
          <w:sz w:val="22"/>
        </w:rPr>
      </w:r>
    </w:p>
    <w:p>
      <w:pPr>
        <w:pStyle w:val="Normal"/>
        <w:numPr>
          <w:ilvl w:val="0"/>
          <w:numId w:val="7"/>
        </w:numPr>
        <w:jc w:val="both"/>
        <w:rPr>
          <w:rFonts w:ascii="Arial" w:hAnsi="Arial" w:cs="Arial"/>
          <w:sz w:val="22"/>
        </w:rPr>
      </w:pPr>
      <w:r>
        <w:rPr>
          <w:rFonts w:cs="Arial" w:ascii="Arial" w:hAnsi="Arial"/>
          <w:sz w:val="22"/>
        </w:rPr>
        <w:t xml:space="preserve">Price caps will hurt, not help, consumers in both the short and longer-terms.  The imposition of price caps will discourage investment in generation, particularly peaking capacity, that is needed to better match supply with demand.  Those who advocate a relatively low MMCP – say CAD $5,000 mw/h or even CAD $1,000 mw/h – assume that capping prices at that level will not materially reduce investment in new generation.  The experience in the National Energy Market in Australia illustrates the significant hazard in making that assumption: the NEM initially adopted an MMCP of AUS $5,000 mw/h, but recently decided to increase that figure to AUS $20,000 mw/h after finding that the lower figure was insufficient to incent investment in peaking capacity and after experiencing energy shortages during the summer of 1998-1999.  Moreover, remember that in the summer of 1998, prices in the Midwest U.S. spiked at prices well in excess of US $5,000 mw/h.  The highest price recorded at that time was US $7,000 mw/h (or </w:t>
      </w:r>
      <w:r>
        <w:rPr>
          <w:rFonts w:cs="Arial" w:ascii="Arial" w:hAnsi="Arial"/>
          <w:sz w:val="22"/>
          <w:u w:val="single"/>
        </w:rPr>
        <w:t>over</w:t>
      </w:r>
      <w:r>
        <w:rPr>
          <w:rFonts w:cs="Arial" w:ascii="Arial" w:hAnsi="Arial"/>
          <w:sz w:val="22"/>
        </w:rPr>
        <w:t xml:space="preserve"> CAD $10,000 mw/h).  Our understanding is that prices reached an even higher peak – US $9,500 mw/h (or </w:t>
      </w:r>
      <w:r>
        <w:rPr>
          <w:rFonts w:cs="Arial" w:ascii="Arial" w:hAnsi="Arial"/>
          <w:sz w:val="22"/>
          <w:u w:val="single"/>
        </w:rPr>
        <w:t>over</w:t>
      </w:r>
      <w:r>
        <w:rPr>
          <w:rFonts w:cs="Arial" w:ascii="Arial" w:hAnsi="Arial"/>
          <w:sz w:val="22"/>
        </w:rPr>
        <w:t xml:space="preserve"> CAD $14,000 mw/h) – for one hour in July 1999.  Because prices were able to rise in response to generation shortages and record levels of demand, additional supplies were attracted into the Midwest region and no firm services were curtailed.  U.S. regulators wisely resisted calls to impose a price cap in the Midwest energy markets and, as a consequence, the Midwest is finally seeing the installation of considerable new generation capacity, particularly peaking capacity.  RDI estimates the total new capacity to be in service in that region by January 2001 at approximately 4,500 MW.</w:t>
      </w:r>
    </w:p>
    <w:p>
      <w:pPr>
        <w:pStyle w:val="Normal"/>
        <w:jc w:val="both"/>
        <w:rPr>
          <w:rFonts w:ascii="Arial" w:hAnsi="Arial" w:cs="Arial"/>
          <w:sz w:val="22"/>
        </w:rPr>
      </w:pPr>
      <w:r>
        <w:rPr>
          <w:rFonts w:cs="Arial" w:ascii="Arial" w:hAnsi="Arial"/>
          <w:sz w:val="22"/>
        </w:rPr>
      </w:r>
    </w:p>
    <w:p>
      <w:pPr>
        <w:pStyle w:val="Normal"/>
        <w:numPr>
          <w:ilvl w:val="0"/>
          <w:numId w:val="7"/>
        </w:numPr>
        <w:jc w:val="both"/>
        <w:rPr>
          <w:rFonts w:ascii="Arial" w:hAnsi="Arial" w:cs="Arial"/>
          <w:sz w:val="22"/>
        </w:rPr>
      </w:pPr>
      <w:r>
        <w:rPr>
          <w:rFonts w:cs="Arial" w:ascii="Arial" w:hAnsi="Arial"/>
          <w:sz w:val="22"/>
        </w:rPr>
        <w:t>It is also worth noting that the prices paid for the last increment of energy during the Midwest in June 1998 were not out of line with the full cost of a peaking unit installed and operated only a limited number of hours.  This point is explained well in the paper entitled “Analysis of the Midwestern Price Spikes” that was prepared by Tabors, Caramanis &amp; Associates for Enron in connection with FERC’s investigation of those price spikes.  In that paper, Tabors, Caramanis &amp; Associates notes as follows:</w:t>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i/>
          <w:i/>
          <w:sz w:val="22"/>
        </w:rPr>
      </w:pPr>
      <w:r>
        <w:rPr>
          <w:rFonts w:cs="Arial" w:ascii="Arial" w:hAnsi="Arial"/>
          <w:i/>
          <w:sz w:val="22"/>
        </w:rPr>
        <w:t>“</w:t>
      </w:r>
      <w:r>
        <w:rPr>
          <w:rFonts w:cs="Arial" w:ascii="Arial" w:hAnsi="Arial"/>
          <w:i/>
          <w:sz w:val="22"/>
        </w:rPr>
        <w:t>Peaking capacity is the most costly unit in the merit stack.  In general, it represents a unit with high operating (but relatively low capital) costs when compared to a base-load unit.  It is important to recognize peaking capacity is just that, capacity and not energy.  Its value lies in its availability for a very few hours over its lifetime.  The values shown in the example below are representative of the capital costs of simple cycle gas turbines, which are the standard for peaking capacity in the Midwest.</w:t>
      </w:r>
    </w:p>
    <w:p>
      <w:pPr>
        <w:pStyle w:val="Normal"/>
        <w:ind w:start="720" w:end="0"/>
        <w:jc w:val="both"/>
        <w:rPr>
          <w:rFonts w:ascii="Arial" w:hAnsi="Arial" w:cs="Arial"/>
          <w:i/>
          <w:i/>
          <w:sz w:val="22"/>
        </w:rPr>
      </w:pPr>
      <w:r>
        <w:rPr>
          <w:rFonts w:cs="Arial" w:ascii="Arial" w:hAnsi="Arial"/>
          <w:i/>
          <w:sz w:val="22"/>
        </w:rPr>
      </w:r>
    </w:p>
    <w:p>
      <w:pPr>
        <w:pStyle w:val="Normal"/>
        <w:numPr>
          <w:ilvl w:val="0"/>
          <w:numId w:val="12"/>
        </w:numPr>
        <w:tabs>
          <w:tab w:val="clear" w:pos="720"/>
          <w:tab w:val="left" w:pos="1080" w:leader="none"/>
        </w:tabs>
        <w:ind w:hanging="360" w:start="1080" w:end="0"/>
        <w:jc w:val="both"/>
        <w:rPr>
          <w:rFonts w:ascii="Arial" w:hAnsi="Arial" w:cs="Arial"/>
          <w:i/>
          <w:i/>
          <w:sz w:val="22"/>
        </w:rPr>
      </w:pPr>
      <w:r>
        <w:rPr>
          <w:rFonts w:cs="Arial" w:ascii="Arial" w:hAnsi="Arial"/>
          <w:i/>
          <w:sz w:val="22"/>
        </w:rPr>
        <w:t>A single-cycle gas turbine (peaker) costs roughly [US] $250,000 per MW to install.</w:t>
      </w:r>
    </w:p>
    <w:p>
      <w:pPr>
        <w:pStyle w:val="Normal"/>
        <w:jc w:val="both"/>
        <w:rPr>
          <w:rFonts w:ascii="Arial" w:hAnsi="Arial" w:cs="Arial"/>
          <w:i/>
          <w:i/>
          <w:sz w:val="22"/>
        </w:rPr>
      </w:pPr>
      <w:r>
        <w:rPr>
          <w:rFonts w:cs="Arial" w:ascii="Arial" w:hAnsi="Arial"/>
          <w:i/>
          <w:sz w:val="22"/>
        </w:rPr>
      </w:r>
    </w:p>
    <w:p>
      <w:pPr>
        <w:pStyle w:val="Normal"/>
        <w:numPr>
          <w:ilvl w:val="0"/>
          <w:numId w:val="2"/>
        </w:numPr>
        <w:tabs>
          <w:tab w:val="clear" w:pos="720"/>
          <w:tab w:val="left" w:pos="1080" w:leader="none"/>
        </w:tabs>
        <w:ind w:hanging="360" w:start="1080" w:end="0"/>
        <w:jc w:val="both"/>
        <w:rPr>
          <w:rFonts w:ascii="Arial" w:hAnsi="Arial" w:cs="Arial"/>
          <w:i/>
          <w:i/>
          <w:sz w:val="22"/>
        </w:rPr>
      </w:pPr>
      <w:r>
        <w:rPr>
          <w:rFonts w:cs="Arial" w:ascii="Arial" w:hAnsi="Arial"/>
          <w:i/>
          <w:sz w:val="22"/>
        </w:rPr>
        <w:t>The turbine is built to support only the hours that experienced high prices in June 1998, i.e., 10 to 25 hours of high prices.</w:t>
      </w:r>
    </w:p>
    <w:p>
      <w:pPr>
        <w:pStyle w:val="Normal"/>
        <w:jc w:val="both"/>
        <w:rPr>
          <w:rFonts w:ascii="Arial" w:hAnsi="Arial" w:cs="Arial"/>
          <w:i/>
          <w:i/>
          <w:sz w:val="22"/>
        </w:rPr>
      </w:pPr>
      <w:r>
        <w:rPr>
          <w:rFonts w:cs="Arial" w:ascii="Arial" w:hAnsi="Arial"/>
          <w:i/>
          <w:sz w:val="22"/>
        </w:rPr>
      </w:r>
    </w:p>
    <w:p>
      <w:pPr>
        <w:pStyle w:val="Normal"/>
        <w:ind w:start="720" w:end="0"/>
        <w:jc w:val="both"/>
        <w:rPr>
          <w:rFonts w:ascii="Arial" w:hAnsi="Arial" w:cs="Arial"/>
          <w:i/>
          <w:i/>
          <w:sz w:val="22"/>
        </w:rPr>
      </w:pPr>
      <w:r>
        <w:rPr>
          <w:rFonts w:cs="Arial" w:ascii="Arial" w:hAnsi="Arial"/>
          <w:i/>
          <w:sz w:val="22"/>
        </w:rPr>
        <w:t>The cost per MWh of the peaking capacity would be [US] $10,000 to [US] $25,000 per MWh.</w:t>
      </w:r>
    </w:p>
    <w:p>
      <w:pPr>
        <w:pStyle w:val="Normal"/>
        <w:ind w:start="720" w:end="0"/>
        <w:jc w:val="both"/>
        <w:rPr>
          <w:rFonts w:ascii="Arial" w:hAnsi="Arial" w:cs="Arial"/>
          <w:i/>
          <w:i/>
          <w:sz w:val="22"/>
        </w:rPr>
      </w:pPr>
      <w:r>
        <w:rPr>
          <w:rFonts w:cs="Arial" w:ascii="Arial" w:hAnsi="Arial"/>
          <w:i/>
          <w:sz w:val="22"/>
        </w:rPr>
      </w:r>
    </w:p>
    <w:p>
      <w:pPr>
        <w:pStyle w:val="BodyTextIndent"/>
        <w:ind w:start="720" w:end="0"/>
        <w:rPr>
          <w:i/>
          <w:i/>
        </w:rPr>
      </w:pPr>
      <w:r>
        <w:rPr>
          <w:i/>
        </w:rPr>
        <w:t>The [US] $7,000 per MWh price – the highest price reported for June 1998 in the popular press – is clearly less than this. If we assume that the units will be used over 5 to 10 years, then a reasonable fixed charge rate for the capital would bring the annual cost to [US] $50,000 per MW, which if operated for 10 to 25 hours per year, would reduce the cost to between [US] $2,000 and [US] $5,000 per MWh. Again this is not out of line with the values recorded or June 24 and 25.” (see page 6).</w:t>
      </w:r>
    </w:p>
    <w:p>
      <w:pPr>
        <w:pStyle w:val="BodyTextIndent"/>
        <w:ind w:start="720" w:end="0"/>
        <w:rPr>
          <w:i/>
          <w:i/>
        </w:rPr>
      </w:pPr>
      <w:r>
        <w:rPr>
          <w:i/>
        </w:rPr>
      </w:r>
    </w:p>
    <w:p>
      <w:pPr>
        <w:pStyle w:val="Normal"/>
        <w:numPr>
          <w:ilvl w:val="0"/>
          <w:numId w:val="5"/>
        </w:numPr>
        <w:jc w:val="both"/>
        <w:rPr>
          <w:rFonts w:ascii="Arial" w:hAnsi="Arial" w:cs="Arial"/>
          <w:sz w:val="22"/>
        </w:rPr>
      </w:pPr>
      <w:r>
        <w:rPr>
          <w:rFonts w:cs="Arial" w:ascii="Arial" w:hAnsi="Arial"/>
          <w:iCs/>
          <w:sz w:val="22"/>
        </w:rPr>
        <w:t xml:space="preserve">Any decision </w:t>
      </w:r>
      <w:r>
        <w:rPr>
          <w:rFonts w:cs="Arial" w:ascii="Arial" w:hAnsi="Arial"/>
          <w:sz w:val="22"/>
        </w:rPr>
        <w:t>to distort the energy market by fixing MMCP at the low level contemplated by some (i.e. CAD $5,000 mw/h or CAD $1,000 mw/h) poses serious risks for those contemplating investment in the Ontario market.  Setting MMCP at such a level exposes those contemplating investment in peaking capacity to the risk that the Market Rules will not permit the recovery of their costs.  In the face of such risk, investment in peaking capacity cannot and will not proceed.</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 xml:space="preserve">It should be remembered that the connected markets of greatest commercial significance to Ontario are New York and the Midwest – there is no price cap in the Midwest and MMCP in New York is US $9,999 mw/h (or almost CAD $15,000 mw/h), (subject to a </w:t>
      </w:r>
      <w:r>
        <w:rPr>
          <w:rFonts w:cs="Arial" w:ascii="Arial" w:hAnsi="Arial"/>
          <w:sz w:val="22"/>
          <w:u w:val="single"/>
        </w:rPr>
        <w:t>temporary</w:t>
      </w:r>
      <w:r>
        <w:rPr>
          <w:rFonts w:cs="Arial" w:ascii="Arial" w:hAnsi="Arial"/>
          <w:sz w:val="22"/>
        </w:rPr>
        <w:t xml:space="preserve"> bid cap of US $1,000 mw/h until October 31, 2000). </w:t>
      </w:r>
      <w:r>
        <w:rPr>
          <w:rStyle w:val="FootnoteCharacters"/>
          <w:rStyle w:val="FootnoteReference"/>
          <w:rFonts w:cs="Arial" w:ascii="Arial" w:hAnsi="Arial"/>
          <w:sz w:val="22"/>
        </w:rPr>
        <w:footnoteReference w:id="5"/>
      </w:r>
      <w:r>
        <w:rPr>
          <w:rFonts w:cs="Arial" w:ascii="Arial" w:hAnsi="Arial"/>
          <w:sz w:val="22"/>
        </w:rPr>
        <w:t xml:space="preserve"> Accordingly, in those periods when prices in those connected markets exceed any price cap adopted in Ontario, external suppliers would have no incentive to bid into the Ontario market.  The likelihood of such circumstances arising is significant because the correlation of the peak demands in those markets is very high.  Just consider the prices experienced during the recent period of warm weather – on May 9, hourly spot prices approached and briefly exceeded US $3,500 mw/h (about CAD $5,200 mw/h) in New York and hit US $6,000 mw/h (about CAD $8,800 mw/h) for four hours in NEPOOL.  This factor will have increasing significance as the Ontario summer peak continues to increase and as Ontario finds itself competing with those connected markets for peak power.</w:t>
      </w:r>
      <w:r>
        <w:rPr>
          <w:rStyle w:val="FootnoteCharacters"/>
          <w:rStyle w:val="FootnoteReference"/>
          <w:rFonts w:cs="Arial" w:ascii="Arial" w:hAnsi="Arial"/>
          <w:sz w:val="22"/>
        </w:rPr>
        <w:footnoteReference w:id="6"/>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rPr>
        <w:t>One of the fundamental objectives of restructuring in Ontario is to ensure that the risk of new investment is born by investors and their contractual counterparties rather than by captive ratepayers.  Unless prospective investors can have confidence that those who oversee the market will not intervene in the operation of that market, than the likelihood of such investment decreases.  The specification of MMCP is a measure of the extent to which market participants can expect further interference in the operation of the market.  Morgan Stanley, a leading investment bank, made the point well in its submissions to FERC protesting the California ISO’s price cap adjustments in the summer of 2000:</w:t>
      </w:r>
    </w:p>
    <w:p>
      <w:pPr>
        <w:pStyle w:val="Normal"/>
        <w:jc w:val="both"/>
        <w:rPr>
          <w:rFonts w:ascii="Arial" w:hAnsi="Arial" w:cs="Arial"/>
          <w:sz w:val="22"/>
        </w:rPr>
      </w:pPr>
      <w:r>
        <w:rPr>
          <w:rFonts w:cs="Arial" w:ascii="Arial" w:hAnsi="Arial"/>
          <w:sz w:val="22"/>
        </w:rPr>
      </w:r>
    </w:p>
    <w:p>
      <w:pPr>
        <w:pStyle w:val="BodyTextIndent3"/>
        <w:rPr/>
      </w:pPr>
      <w:r>
        <w:rPr/>
        <w:t>“</w:t>
      </w:r>
      <w:r>
        <w:rPr/>
        <w:t xml:space="preserve">[T]he board [of the ISO] is under the mistaken impression that reducing the price cap will automatically benefit California’s consumers.  In fact, the very opposite may occur.  Entities such as MSCG [Morgan Stanley Capital Group] utilize their investment capital in electricity markets, either by entering into forward purchases or sales from producers or consumers or by investing, through subsidiaries, in generation assets.  Through these efforts MSCG provides a long-term, stable source of capital and liquidity which, when grouped with other such providers of capital, is essential to the trading of power and the development of new power generation in California and throughout the country.  </w:t>
      </w:r>
    </w:p>
    <w:p>
      <w:pPr>
        <w:pStyle w:val="Normal"/>
        <w:ind w:start="720" w:end="0"/>
        <w:jc w:val="both"/>
        <w:rPr>
          <w:rFonts w:ascii="Arial" w:hAnsi="Arial" w:cs="Arial"/>
          <w:i/>
          <w:i/>
          <w:sz w:val="22"/>
        </w:rPr>
      </w:pPr>
      <w:r>
        <w:rPr>
          <w:rFonts w:cs="Arial" w:ascii="Arial" w:hAnsi="Arial"/>
          <w:i/>
          <w:sz w:val="22"/>
        </w:rPr>
      </w:r>
    </w:p>
    <w:p>
      <w:pPr>
        <w:pStyle w:val="Normal"/>
        <w:ind w:start="720" w:end="0"/>
        <w:jc w:val="both"/>
        <w:rPr>
          <w:rFonts w:ascii="Arial" w:hAnsi="Arial" w:cs="Arial"/>
          <w:i/>
          <w:i/>
          <w:sz w:val="22"/>
        </w:rPr>
      </w:pPr>
      <w:r>
        <w:rPr>
          <w:rFonts w:cs="Arial" w:ascii="Arial" w:hAnsi="Arial"/>
          <w:i/>
          <w:sz w:val="22"/>
        </w:rPr>
        <w:t xml:space="preserve">However, investors’ positions are premised on long-term predictability in the regulatory regime that governs the buying and selling of power.  When predictability does not exist, investment capital, such as that provided by MSCG, will quickly move on to invest in other regions or markets where more certainty exists.  This reaction is increasingly true given the acute need for investment in the development of electrical generation and the marketing of power across the nation and worldwide.  What results is a reduction in the overall liquidity in the markets and an increase in the cost of investment in additional generation.” </w:t>
      </w:r>
      <w:r>
        <w:rPr>
          <w:rStyle w:val="FootnoteCharacters"/>
          <w:rStyle w:val="FootnoteReference"/>
          <w:rFonts w:cs="Arial" w:ascii="Arial" w:hAnsi="Arial"/>
          <w:i/>
          <w:sz w:val="22"/>
        </w:rPr>
        <w:footnoteReference w:id="7"/>
      </w:r>
    </w:p>
    <w:p>
      <w:pPr>
        <w:pStyle w:val="Normal"/>
        <w:jc w:val="both"/>
        <w:rPr>
          <w:rFonts w:ascii="Arial" w:hAnsi="Arial" w:cs="Arial"/>
          <w:i/>
          <w:i/>
          <w:sz w:val="22"/>
        </w:rPr>
      </w:pPr>
      <w:r>
        <w:rPr>
          <w:rFonts w:cs="Arial" w:ascii="Arial" w:hAnsi="Arial"/>
          <w:i/>
          <w:sz w:val="22"/>
        </w:rPr>
      </w:r>
    </w:p>
    <w:p>
      <w:pPr>
        <w:pStyle w:val="BodyTextIndent2"/>
        <w:rPr/>
      </w:pPr>
      <w:r>
        <w:rPr/>
        <w:tab/>
      </w:r>
      <w:r>
        <w:rPr>
          <w:rFonts w:cs="Arial"/>
        </w:rPr>
        <w:t>If Ontario does not move quickly to establish a regulatory environment in which prospective investors have confidence, then we will either have to live without the generation assets we need or we will be driven back to reliance on centrally mandated solutions to secure the needed resources.</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rFonts w:cs="Arial" w:ascii="Arial" w:hAnsi="Arial"/>
          <w:sz w:val="18"/>
        </w:rPr>
        <w:t>In our view there is no reason why distributors in their capacity as default service providers should be required to transact through one particular forward market, such as the PX block forward market.  Indeed, in the last month the California PUC has significantly relaxed the restrictions on the scope of forward transactions in which the distributors can engage.</w:t>
      </w:r>
    </w:p>
  </w:footnote>
  <w:footnote w:id="3">
    <w:p>
      <w:pPr>
        <w:pStyle w:val="FootnoteText"/>
        <w:jc w:val="both"/>
        <w:rPr/>
      </w:pPr>
      <w:r>
        <w:rPr>
          <w:rStyle w:val="FootnoteCharacters"/>
        </w:rPr>
        <w:footnoteRef/>
      </w:r>
      <w:r>
        <w:rPr>
          <w:rFonts w:cs="Arial" w:ascii="Arial" w:hAnsi="Arial"/>
          <w:sz w:val="18"/>
        </w:rPr>
        <w:t xml:space="preserve"> </w:t>
      </w:r>
      <w:r>
        <w:rPr>
          <w:rFonts w:cs="Arial" w:ascii="Arial" w:hAnsi="Arial"/>
          <w:sz w:val="18"/>
        </w:rPr>
        <w:t>Remarks by William L. Massey, FERC Commissioner, Electric Power Supply Association, Chicago, August 29, 2000, “Summer 2000: Urgent Steps to Restore Confidence in Electricity Markets.”</w:t>
      </w:r>
    </w:p>
  </w:footnote>
  <w:footnote w:id="4">
    <w:p>
      <w:pPr>
        <w:pStyle w:val="FootnoteText"/>
        <w:rPr/>
      </w:pPr>
      <w:r>
        <w:rPr>
          <w:rStyle w:val="FootnoteCharacters"/>
        </w:rPr>
        <w:footnoteRef/>
      </w:r>
      <w:r>
        <w:rPr>
          <w:rFonts w:cs="Arial" w:ascii="Arial" w:hAnsi="Arial"/>
          <w:sz w:val="18"/>
        </w:rPr>
        <w:t xml:space="preserve"> </w:t>
      </w:r>
      <w:r>
        <w:rPr>
          <w:rFonts w:cs="Arial" w:ascii="Arial" w:hAnsi="Arial"/>
          <w:sz w:val="18"/>
        </w:rPr>
        <w:t>FERC Press Release: Commission Proposes to Reshape California’s “Seriously Flawed” Market, P.2.</w:t>
      </w:r>
    </w:p>
  </w:footnote>
  <w:footnote w:id="5">
    <w:p>
      <w:pPr>
        <w:pStyle w:val="FootnoteText"/>
        <w:jc w:val="both"/>
        <w:rPr/>
      </w:pPr>
      <w:r>
        <w:rPr>
          <w:rStyle w:val="FootnoteCharacters"/>
        </w:rPr>
        <w:footnoteRef/>
      </w:r>
      <w:r>
        <w:rPr>
          <w:rFonts w:cs="Arial" w:ascii="Arial" w:hAnsi="Arial"/>
          <w:sz w:val="18"/>
        </w:rPr>
        <w:t xml:space="preserve"> </w:t>
      </w:r>
      <w:r>
        <w:rPr>
          <w:rFonts w:cs="Arial" w:ascii="Arial" w:hAnsi="Arial"/>
          <w:sz w:val="18"/>
        </w:rPr>
        <w:t>It is important to note that the prices for New York do not include the value of capacity payments to generators.</w:t>
      </w:r>
    </w:p>
  </w:footnote>
  <w:footnote w:id="6">
    <w:p>
      <w:pPr>
        <w:pStyle w:val="FootnoteText"/>
        <w:rPr/>
      </w:pPr>
      <w:r>
        <w:rPr>
          <w:rStyle w:val="FootnoteCharacters"/>
        </w:rPr>
        <w:footnoteRef/>
      </w:r>
      <w:r>
        <w:rPr/>
        <w:t xml:space="preserve"> </w:t>
      </w:r>
      <w:r>
        <w:rPr>
          <w:rFonts w:cs="Arial" w:ascii="Arial" w:hAnsi="Arial"/>
          <w:sz w:val="18"/>
        </w:rPr>
        <w:t>In understanding the “politics” of rate caps, one must appreciate the reasons why the incumbent utilities in both New York and California  might favour price caps.  In California, given the structure of the “default service” rates, the higher the PX price in any period, the lower the recovery of stranded costs by the incumbent in that period.  Accordingly, the incumbent utilities have a strong incentive to favour price caps and thereby enhance the likelihood of full stranded cost recovery.  In New York, many marketers believe that many incumbent utilities pushed for price caps because those utilities failed to make appropriate hedging arrangements for the summer months: they turned to price caps to insulate them from the adverse commercial implications of an ill-advised short position.  In this regard, see Motion to Intervene and Protest by Morgan Stanley Capital Group (ER00-3038-000), July 10, 2000.</w:t>
      </w:r>
    </w:p>
    <w:p>
      <w:pPr>
        <w:pStyle w:val="FootnoteText"/>
        <w:rPr>
          <w:rFonts w:ascii="Arial" w:hAnsi="Arial" w:cs="Arial"/>
          <w:sz w:val="18"/>
        </w:rPr>
      </w:pPr>
      <w:r>
        <w:rPr>
          <w:rFonts w:cs="Arial" w:ascii="Arial" w:hAnsi="Arial"/>
          <w:sz w:val="18"/>
        </w:rPr>
      </w:r>
    </w:p>
  </w:footnote>
  <w:footnote w:id="7">
    <w:p>
      <w:pPr>
        <w:pStyle w:val="FootnoteText"/>
        <w:rPr/>
      </w:pPr>
      <w:r>
        <w:rPr>
          <w:rStyle w:val="FootnoteCharacters"/>
        </w:rPr>
        <w:footnoteRef/>
      </w:r>
      <w:r>
        <w:rPr/>
        <w:t xml:space="preserve"> </w:t>
      </w:r>
      <w:r>
        <w:rPr>
          <w:rFonts w:cs="Arial" w:ascii="Arial" w:hAnsi="Arial"/>
          <w:sz w:val="18"/>
        </w:rPr>
        <w:t>Complaint of Morgan Stanley Capital Group (EL 00-91-000), July 10, 2000, p.9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fldChar w:fldCharType="begin"/>
    </w:r>
    <w:r>
      <w:rPr/>
      <w:instrText xml:space="preserve"> PAGE </w:instrText>
    </w:r>
    <w:r>
      <w:rPr/>
      <w:fldChar w:fldCharType="separate"/>
    </w:r>
    <w:r>
      <w:rPr/>
      <w:t>6</w:t>
    </w:r>
    <w:r>
      <w:rPr/>
      <w:fldChar w:fldCharType="end"/>
    </w:r>
    <w:r>
      <w:rPr/>
      <w:t xml:space="preserve"> -</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Black" w:hAnsi="Arial Black" w:cs="Arial Black"/>
        <w:color w:val="FFFFFF"/>
        <w:sz w:val="28"/>
        <w:bdr w:val="single" w:sz="4" w:space="0" w:color="000000"/>
        <w:shd w:fill="000000" w:val="clear"/>
      </w:rPr>
    </w:pPr>
    <w:r>
      <w:rPr>
        <w:rFonts w:cs="Arial Black" w:ascii="Arial Black" w:hAnsi="Arial Black"/>
        <w:color w:val="FFFFFF"/>
        <w:sz w:val="28"/>
        <w:bdr w:val="single" w:sz="4" w:space="0" w:color="000000"/>
        <w:shd w:fill="000000" w:val="clear"/>
      </w:rPr>
      <w:t>Enron Canada Corp.</w:t>
    </w:r>
  </w:p>
  <w:p>
    <w:pPr>
      <w:pStyle w:val="Header"/>
      <w:jc w:val="end"/>
      <w:rPr>
        <w:rFonts w:ascii="Arial" w:hAnsi="Arial" w:cs="Arial"/>
        <w:color w:val="FFFFFF"/>
        <w:sz w:val="18"/>
        <w:bdr w:val="single" w:sz="4" w:space="0" w:color="000000"/>
        <w:shd w:fill="000000" w:val="clear"/>
      </w:rPr>
    </w:pPr>
    <w:r>
      <w:rPr>
        <w:rFonts w:cs="Arial" w:ascii="Arial" w:hAnsi="Arial"/>
        <w:color w:val="FFFFFF"/>
        <w:sz w:val="18"/>
        <w:bdr w:val="single" w:sz="4" w:space="0" w:color="000000"/>
        <w:shd w:fill="000000" w:val="clear"/>
      </w:rPr>
    </w:r>
  </w:p>
  <w:p>
    <w:pPr>
      <w:pStyle w:val="Header"/>
      <w:jc w:val="end"/>
      <w:rPr>
        <w:rFonts w:ascii="Arial" w:hAnsi="Arial" w:cs="Arial"/>
        <w:sz w:val="18"/>
        <w:bdr w:val="single" w:sz="4" w:space="0" w:color="000000"/>
      </w:rPr>
    </w:pPr>
    <w:r>
      <w:rPr>
        <w:rFonts w:cs="Arial" w:ascii="Arial" w:hAnsi="Arial"/>
        <w:sz w:val="18"/>
        <w:bdr w:val="single" w:sz="4" w:space="0" w:color="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4"/>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lvl>
  </w:abstractNum>
  <w:abstractNum w:abstractNumId="5">
    <w:lvl w:ilvl="0">
      <w:start w:val="10"/>
      <w:numFmt w:val="decimal"/>
      <w:lvlText w:val="%1)"/>
      <w:lvlJc w:val="start"/>
      <w:pPr>
        <w:tabs>
          <w:tab w:val="num" w:pos="360"/>
        </w:tabs>
        <w:ind w:start="360" w:hanging="360"/>
      </w:pPr>
      <w:rPr/>
    </w:lvl>
  </w:abstractNum>
  <w:abstractNum w:abstractNumId="6">
    <w:lvl w:ilvl="0">
      <w:start w:val="6"/>
      <w:numFmt w:val="decimal"/>
      <w:lvlText w:val="%1)"/>
      <w:lvlJc w:val="start"/>
      <w:pPr>
        <w:tabs>
          <w:tab w:val="num" w:pos="360"/>
        </w:tabs>
        <w:ind w:start="360" w:hanging="360"/>
      </w:pPr>
      <w:rPr/>
    </w:lvl>
  </w:abstractNum>
  <w:abstractNum w:abstractNumId="7">
    <w:lvl w:ilvl="0">
      <w:start w:val="8"/>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3"/>
      <w:numFmt w:val="decimal"/>
      <w:lvlText w:val="%1)"/>
      <w:lvlJc w:val="start"/>
      <w:pPr>
        <w:tabs>
          <w:tab w:val="num" w:pos="360"/>
        </w:tabs>
        <w:ind w:start="360" w:hanging="360"/>
      </w:pPr>
    </w:lvl>
  </w:abstractNum>
  <w:abstractNum w:abstractNumId="10">
    <w:lvl w:ilvl="0">
      <w:start w:val="7"/>
      <w:numFmt w:val="decimal"/>
      <w:lvlText w:val="%1)"/>
      <w:lvlJc w:val="start"/>
      <w:pPr>
        <w:tabs>
          <w:tab w:val="num" w:pos="360"/>
        </w:tabs>
        <w:ind w:start="360" w:hanging="360"/>
      </w:pPr>
      <w:rPr/>
    </w:lvl>
  </w:abstractNum>
  <w:abstractNum w:abstractNumId="11">
    <w:lvl w:ilvl="0">
      <w:start w:val="1"/>
      <w:numFmt w:val="lowerLetter"/>
      <w:lvlText w:val="(%1)"/>
      <w:lvlJc w:val="start"/>
      <w:pPr>
        <w:tabs>
          <w:tab w:val="num" w:pos="1080"/>
        </w:tabs>
        <w:ind w:start="108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5"/>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6">
    <w:name w:val="heading 6"/>
    <w:basedOn w:val="Normal"/>
    <w:next w:val="Normal"/>
    <w:qFormat/>
    <w:pPr>
      <w:keepNext w:val="true"/>
      <w:numPr>
        <w:ilvl w:val="5"/>
        <w:numId w:val="1"/>
      </w:numPr>
      <w:jc w:val="center"/>
      <w:outlineLvl w:val="5"/>
    </w:pPr>
    <w:rPr>
      <w:rFonts w:ascii="Arial" w:hAnsi="Arial" w:cs="Arial"/>
      <w:b/>
      <w:sz w:val="28"/>
      <w:szCs w:val="20"/>
    </w:rPr>
  </w:style>
  <w:style w:type="character" w:styleId="WW8Num1z0">
    <w:name w:val="WW8Num1z0"/>
    <w:qFormat/>
    <w:rPr>
      <w:rFonts w:ascii="Symbol" w:hAnsi="Symbol" w:cs="Symbol"/>
      <w:color w:val="auto"/>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13z0">
    <w:name w:val="WW8Num13z0"/>
    <w:qFormat/>
    <w:rPr/>
  </w:style>
  <w:style w:type="character" w:styleId="WW8Num14z0">
    <w:name w:val="WW8Num14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38z0">
    <w:name w:val="WW8Num38z0"/>
    <w:qFormat/>
    <w:rPr/>
  </w:style>
  <w:style w:type="character" w:styleId="WW8Num41z0">
    <w:name w:val="WW8Num41z0"/>
    <w:qFormat/>
    <w:rPr/>
  </w:style>
  <w:style w:type="character" w:styleId="WW8Num42z0">
    <w:name w:val="WW8Num42z0"/>
    <w:qFormat/>
    <w:rPr>
      <w:rFonts w:ascii="Symbol" w:hAnsi="Symbol" w:cs="Symbol"/>
      <w:color w:val="auto"/>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szCs w:val="20"/>
    </w:rPr>
  </w:style>
  <w:style w:type="paragraph" w:styleId="BodyTextIndent3">
    <w:name w:val="Body Text Indent 3"/>
    <w:basedOn w:val="Normal"/>
    <w:qFormat/>
    <w:pPr>
      <w:ind w:hanging="0" w:start="720" w:end="0"/>
      <w:jc w:val="both"/>
    </w:pPr>
    <w:rPr>
      <w:rFonts w:ascii="Arial" w:hAnsi="Arial" w:cs="Arial"/>
      <w:i/>
      <w:sz w:val="22"/>
      <w:szCs w:val="20"/>
    </w:rPr>
  </w:style>
  <w:style w:type="paragraph" w:styleId="BodyTextIndent2">
    <w:name w:val="Body Text Indent 2"/>
    <w:basedOn w:val="Normal"/>
    <w:qFormat/>
    <w:pPr>
      <w:tabs>
        <w:tab w:val="clear" w:pos="720"/>
        <w:tab w:val="left" w:pos="360" w:leader="none"/>
      </w:tabs>
      <w:ind w:hanging="360" w:start="360" w:end="0"/>
      <w:jc w:val="both"/>
    </w:pPr>
    <w:rPr>
      <w:rFonts w:ascii="Arial" w:hAnsi="Arial" w:cs="Arial"/>
      <w:sz w:val="22"/>
      <w:szCs w:val="20"/>
    </w:rPr>
  </w:style>
  <w:style w:type="paragraph" w:styleId="BodyTextIndent">
    <w:name w:val="Body Text Indent"/>
    <w:basedOn w:val="Normal"/>
    <w:pPr>
      <w:ind w:hanging="0" w:start="360" w:end="0"/>
      <w:jc w:val="both"/>
    </w:pPr>
    <w:rPr>
      <w:rFonts w:ascii="Arial" w:hAnsi="Arial" w:cs="Arial"/>
      <w:sz w:val="22"/>
      <w:szCs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2000-11-23T17:24:00Z</dcterms:created>
  <dc:creator>ebrady</dc:creator>
  <dc:description/>
  <dc:language>en-CA</dc:language>
  <cp:lastModifiedBy>ebrady</cp:lastModifiedBy>
  <cp:lastPrinted>2000-11-23T15:58:00Z</cp:lastPrinted>
  <dcterms:modified xsi:type="dcterms:W3CDTF">2000-11-23T18:28:00Z</dcterms:modified>
  <cp:revision>2</cp:revision>
  <dc:subject/>
  <dc:title>The Determination of Maximum Market Clearing Price</dc:title>
</cp:coreProperties>
</file>