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ab/>
        <w:tab/>
        <w:tab/>
        <w:tab/>
        <w:tab/>
      </w:r>
      <w:ins w:id="0" w:author="sshackl" w:date="2001-02-22T12:57:00Z">
        <w:r>
          <w:rPr/>
          <w:t>SS</w:t>
        </w:r>
      </w:ins>
      <w:del w:id="1" w:author="sshackl" w:date="2001-02-22T12:57:00Z">
        <w:r>
          <w:rPr/>
          <w:delText>MLC</w:delText>
        </w:r>
      </w:del>
      <w:r>
        <w:rPr/>
        <w:t xml:space="preserve"> DRAFT</w:t>
      </w:r>
    </w:p>
    <w:p>
      <w:pPr>
        <w:pStyle w:val="Heading"/>
        <w:jc w:val="end"/>
        <w:rPr/>
      </w:pPr>
      <w:r>
        <w:rPr/>
        <w:t>01/23/01</w:t>
      </w:r>
    </w:p>
    <w:p>
      <w:pPr>
        <w:pStyle w:val="Heading"/>
        <w:rPr/>
      </w:pPr>
      <w:r>
        <w:rPr/>
      </w:r>
    </w:p>
    <w:p>
      <w:pPr>
        <w:pStyle w:val="Heading"/>
        <w:rPr/>
      </w:pPr>
      <w:r>
        <w:rPr/>
        <w:t>APPENDIX C</w:t>
      </w:r>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numPr>
          <w:ilvl w:val="0"/>
          <w:numId w:val="2"/>
        </w:numPr>
        <w:jc w:val="both"/>
        <w:rPr>
          <w:sz w:val="22"/>
          <w:del w:id="4" w:author="sshackl" w:date="2001-02-14T11:01:00Z"/>
        </w:rPr>
      </w:pPr>
      <w:r>
        <w:rPr>
          <w:sz w:val="22"/>
        </w:rPr>
        <w:t>1.</w:t>
        <w:tab/>
      </w:r>
      <w:r>
        <w:rPr>
          <w:sz w:val="22"/>
          <w:u w:val="single"/>
        </w:rPr>
        <w:t>Margin Maintenance</w:t>
      </w:r>
      <w:r>
        <w:rPr>
          <w:sz w:val="22"/>
        </w:rPr>
        <w:t xml:space="preserve">.  </w:t>
      </w:r>
      <w:ins w:id="2" w:author="sshackl" w:date="2001-02-14T11:01:00Z">
        <w:r>
          <w:rPr>
            <w:sz w:val="22"/>
          </w:rPr>
          <w:t xml:space="preserve">(a) </w:t>
        </w:r>
      </w:ins>
      <w:r>
        <w:rPr>
          <w:sz w:val="22"/>
        </w:rPr>
        <w:t xml:space="preserve">For purposes of the Agreement and this Appendix C, the time by which Buyer may </w:t>
      </w:r>
      <w:ins w:id="3" w:author="sshackl" w:date="2001-02-14T10:59:00Z">
        <w:r>
          <w:rPr>
            <w:sz w:val="22"/>
          </w:rPr>
          <w:t xml:space="preserve">notify Seller to </w:t>
        </w:r>
      </w:ins>
      <w:r>
        <w:rPr>
          <w:sz w:val="22"/>
        </w:rPr>
        <w:t>require Seller to transfer to Buyer cash or additional Securities referred to in Section 3.1 shall be 10:00 a.m. (New York City time) rather than 11:30 a.m.</w:t>
      </w:r>
    </w:p>
    <w:p>
      <w:pPr>
        <w:pStyle w:val="Normal"/>
        <w:widowControl/>
        <w:numPr>
          <w:ilvl w:val="0"/>
          <w:numId w:val="2"/>
        </w:numPr>
        <w:overflowPunct w:val="false"/>
        <w:autoSpaceDE w:val="false"/>
        <w:bidi w:val="0"/>
        <w:ind w:start="0" w:end="0"/>
        <w:jc w:val="both"/>
        <w:textAlignment w:val="baseline"/>
        <w:rPr>
          <w:sz w:val="22"/>
          <w:ins w:id="6" w:author="sshackl" w:date="2001-02-14T11:02:00Z"/>
        </w:rPr>
      </w:pPr>
      <w:ins w:id="5" w:author="sshackl" w:date="2001-02-14T11:02:00Z">
        <w:r>
          <w:rPr>
            <w:sz w:val="22"/>
          </w:rPr>
          <w:t>(b)  All notification and transfer times appearing in Section 3.1 shall refer to Toronto time.</w:t>
        </w:r>
      </w:ins>
    </w:p>
    <w:p>
      <w:pPr>
        <w:pStyle w:val="Normal"/>
        <w:jc w:val="both"/>
        <w:rPr>
          <w:sz w:val="22"/>
        </w:rPr>
      </w:pPr>
      <w:r>
        <w:rPr>
          <w:sz w:val="22"/>
        </w:rPr>
      </w:r>
    </w:p>
    <w:p>
      <w:pPr>
        <w:pStyle w:val="Normal"/>
        <w:jc w:val="both"/>
        <w:rPr/>
      </w:pPr>
      <w:ins w:id="7" w:author="sshackl" w:date="2001-02-14T11:10:00Z">
        <w:r>
          <w:rPr>
            <w:sz w:val="22"/>
            <w:u w:val="single"/>
          </w:rPr>
          <w:t>2.</w:t>
          <w:tab/>
        </w:r>
      </w:ins>
      <w:r>
        <w:rPr>
          <w:sz w:val="22"/>
          <w:u w:val="single"/>
        </w:rPr>
        <w:t>Initiation, Confirmation, Termination</w:t>
      </w:r>
      <w:r>
        <w:rPr>
          <w:sz w:val="22"/>
        </w:rPr>
        <w:t xml:space="preserve">.  </w:t>
      </w:r>
    </w:p>
    <w:p>
      <w:pPr>
        <w:pStyle w:val="Normal"/>
        <w:jc w:val="both"/>
        <w:rPr>
          <w:sz w:val="22"/>
        </w:rPr>
      </w:pPr>
      <w:r>
        <w:rPr>
          <w:sz w:val="22"/>
        </w:rPr>
      </w:r>
    </w:p>
    <w:p>
      <w:pPr>
        <w:pStyle w:val="BodyTextIndent"/>
        <w:ind w:firstLine="720" w:end="0"/>
        <w:rPr/>
      </w:pPr>
      <w:r>
        <w:rPr/>
        <w:t xml:space="preserve">(a)  Unless otherwise agreed, on or promptly following the date on which the parties reach agreement on the terms of a Transaction as contemplated by Section 2.2 of the Agreement, </w:t>
      </w:r>
      <w:ins w:id="8" w:author="sshackl" w:date="2001-02-14T11:00:00Z">
        <w:r>
          <w:rPr/>
          <w:t>Merrill Lynch Canada Inc.</w:t>
        </w:r>
      </w:ins>
      <w:del w:id="9" w:author="sshackl" w:date="2001-02-14T11:00:00Z">
        <w:r>
          <w:rPr/>
          <w:delText>Party A</w:delText>
        </w:r>
      </w:del>
      <w:r>
        <w:rPr/>
        <w:t xml:space="preserve"> will send to </w:t>
      </w:r>
      <w:ins w:id="10" w:author="sshackl" w:date="2001-02-14T11:00:00Z">
        <w:r>
          <w:rPr/>
          <w:t>Enron North America Corp.</w:t>
        </w:r>
      </w:ins>
      <w:del w:id="11" w:author="sshackl" w:date="2001-02-14T11:00:00Z">
        <w:r>
          <w:rPr/>
          <w:delText>Party B</w:delText>
        </w:r>
      </w:del>
      <w:r>
        <w:rPr/>
        <w:t xml:space="preserve">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BodyTextIndent"/>
        <w:rPr/>
      </w:pPr>
      <w:r>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jc w:val="both"/>
        <w:rPr/>
      </w:pPr>
      <w:ins w:id="12" w:author="sshackl" w:date="2001-02-14T11:11:00Z">
        <w:r>
          <w:rPr>
            <w:sz w:val="22"/>
            <w:u w:val="single"/>
          </w:rPr>
          <w:t>3.</w:t>
          <w:tab/>
        </w:r>
      </w:ins>
      <w:r>
        <w:rPr>
          <w:sz w:val="22"/>
          <w:u w:val="single"/>
        </w:rPr>
        <w:t>Substitution</w:t>
      </w:r>
      <w:r>
        <w:rPr>
          <w:sz w:val="22"/>
        </w:rPr>
        <w:t xml:space="preserve">.  </w:t>
      </w:r>
    </w:p>
    <w:p>
      <w:pPr>
        <w:pStyle w:val="Normal"/>
        <w:jc w:val="both"/>
        <w:rPr>
          <w:sz w:val="22"/>
        </w:rPr>
      </w:pPr>
      <w:r>
        <w:rPr>
          <w:sz w:val="22"/>
        </w:rPr>
      </w:r>
    </w:p>
    <w:p>
      <w:pPr>
        <w:pStyle w:val="Normal"/>
        <w:ind w:firstLine="720" w:start="720" w:end="0"/>
        <w:jc w:val="both"/>
        <w:rPr>
          <w:sz w:val="22"/>
        </w:rPr>
      </w:pPr>
      <w:r>
        <w:rPr>
          <w:sz w:val="22"/>
        </w:rPr>
        <w:t>(a)  Section 8.0 is hereby deleted in its entirety.</w:t>
      </w:r>
    </w:p>
    <w:p>
      <w:pPr>
        <w:pStyle w:val="Normal"/>
        <w:jc w:val="both"/>
        <w:rPr>
          <w:sz w:val="22"/>
        </w:rPr>
      </w:pPr>
      <w:r>
        <w:rPr>
          <w:sz w:val="22"/>
        </w:rPr>
      </w:r>
    </w:p>
    <w:p>
      <w:pPr>
        <w:pStyle w:val="BodyTextIndent"/>
        <w:rPr/>
      </w:pPr>
      <w:r>
        <w:rPr/>
        <w:tab/>
        <w:tab/>
        <w:t>(b)  Seller shall not retain custody of any Purchased Securities under any Transaction governed by this Agreement.</w:t>
      </w:r>
    </w:p>
    <w:p>
      <w:pPr>
        <w:pStyle w:val="Normal"/>
        <w:jc w:val="both"/>
        <w:rPr>
          <w:sz w:val="22"/>
        </w:rPr>
      </w:pPr>
      <w:r>
        <w:rPr>
          <w:sz w:val="22"/>
        </w:rPr>
      </w:r>
    </w:p>
    <w:p>
      <w:pPr>
        <w:pStyle w:val="Normal"/>
        <w:jc w:val="both"/>
        <w:rPr/>
      </w:pPr>
      <w:r>
        <w:rPr>
          <w:sz w:val="22"/>
        </w:rPr>
        <w:t>7.</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spacing w:lineRule="exact" w:line="240"/>
        <w:ind w:hanging="720" w:start="720" w:end="0"/>
        <w:jc w:val="both"/>
        <w:rPr/>
      </w:pPr>
      <w:ins w:id="13" w:author="sshackl" w:date="2001-02-14T11:11:00Z">
        <w:r>
          <w:rPr>
            <w:sz w:val="22"/>
          </w:rPr>
          <w:t>4.</w:t>
        </w:r>
      </w:ins>
      <w:del w:id="14" w:author="sshackl" w:date="2001-02-14T11:11:00Z">
        <w:r>
          <w:rPr>
            <w:sz w:val="22"/>
          </w:rPr>
          <w:delText>8.</w:delText>
        </w:r>
      </w:del>
      <w:r>
        <w:rPr>
          <w:sz w:val="22"/>
        </w:rPr>
        <w:tab/>
      </w:r>
      <w:r>
        <w:rPr>
          <w:sz w:val="22"/>
          <w:u w:val="single"/>
        </w:rPr>
        <w:t>Non-assignability</w:t>
      </w:r>
      <w:r>
        <w:rPr>
          <w:b/>
          <w:sz w:val="22"/>
        </w:rPr>
        <w:t>.</w:t>
      </w:r>
      <w:r>
        <w:rPr>
          <w:sz w:val="22"/>
        </w:rPr>
        <w:t xml:space="preserve">  The first sentence of Section 14.1 of the Agreement is hereby amended by adding after words “other party” the following: “(which consent will not be unreasonably withheld or delayed)”. </w:t>
      </w:r>
    </w:p>
    <w:p>
      <w:pPr>
        <w:pStyle w:val="Normal"/>
        <w:spacing w:lineRule="exact" w:line="240"/>
        <w:ind w:start="720" w:end="0"/>
        <w:jc w:val="both"/>
        <w:rPr>
          <w:sz w:val="22"/>
        </w:rPr>
      </w:pPr>
      <w:r>
        <w:rPr>
          <w:sz w:val="22"/>
        </w:rPr>
      </w:r>
    </w:p>
    <w:p>
      <w:pPr>
        <w:pStyle w:val="Normal"/>
        <w:jc w:val="both"/>
        <w:rPr>
          <w:sz w:val="22"/>
        </w:rPr>
      </w:pPr>
      <w:r>
        <w:rPr>
          <w:sz w:val="22"/>
        </w:rPr>
      </w:r>
    </w:p>
    <w:p>
      <w:pPr>
        <w:pStyle w:val="Normal"/>
        <w:jc w:val="both"/>
        <w:rPr/>
      </w:pPr>
      <w:ins w:id="15" w:author="sshackl" w:date="2001-02-14T11:11:00Z">
        <w:r>
          <w:rPr>
            <w:sz w:val="22"/>
            <w:u w:val="single"/>
          </w:rPr>
          <w:t>5.</w:t>
          <w:tab/>
        </w:r>
      </w:ins>
      <w:r>
        <w:rPr>
          <w:sz w:val="22"/>
          <w:u w:val="single"/>
        </w:rPr>
        <w:t>Miscellaneous</w:t>
      </w:r>
      <w:r>
        <w:rPr>
          <w:sz w:val="22"/>
        </w:rPr>
        <w:t>.</w:t>
      </w:r>
    </w:p>
    <w:p>
      <w:pPr>
        <w:pStyle w:val="Normal"/>
        <w:jc w:val="both"/>
        <w:rPr>
          <w:sz w:val="22"/>
        </w:rPr>
      </w:pPr>
      <w:r>
        <w:rPr>
          <w:sz w:val="22"/>
        </w:rPr>
      </w:r>
    </w:p>
    <w:p>
      <w:pPr>
        <w:pStyle w:val="Normal"/>
        <w:jc w:val="both"/>
        <w:rPr>
          <w:sz w:val="22"/>
        </w:rPr>
      </w:pPr>
      <w:r>
        <w:rPr>
          <w:sz w:val="22"/>
        </w:rPr>
        <w:tab/>
        <w:t>(a)</w:t>
        <w:tab/>
        <w:t>Additional Documentation.  Each party hereby agrees to deliver the following documents at the execution of this Agreement:</w:t>
      </w:r>
    </w:p>
    <w:p>
      <w:pPr>
        <w:pStyle w:val="Normal"/>
        <w:spacing w:lineRule="atLeast" w:line="240" w:before="240" w:after="120"/>
        <w:ind w:hanging="720" w:start="1440" w:end="720"/>
        <w:jc w:val="both"/>
        <w:rPr>
          <w:sz w:val="22"/>
        </w:rPr>
      </w:pPr>
      <w:r>
        <w:rPr>
          <w:sz w:val="22"/>
        </w:rPr>
        <w:t>(i)</w:t>
        <w:tab/>
        <w:t>certified incumbency certificate or other evidence of authority and specimen signatures with respect to each party and its respective signatories executing this Agreement; and</w:t>
      </w:r>
    </w:p>
    <w:p>
      <w:pPr>
        <w:pStyle w:val="Normal"/>
        <w:ind w:hanging="720" w:start="1440" w:end="720"/>
        <w:jc w:val="both"/>
        <w:rPr>
          <w:sz w:val="22"/>
        </w:rPr>
      </w:pPr>
      <w:r>
        <w:rPr>
          <w:sz w:val="22"/>
        </w:rPr>
        <w:t>(ii)</w:t>
        <w:tab/>
        <w: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t>
      </w:r>
    </w:p>
    <w:p>
      <w:pPr>
        <w:pStyle w:val="Normal"/>
        <w:jc w:val="both"/>
        <w:rPr>
          <w:sz w:val="22"/>
        </w:rPr>
      </w:pPr>
      <w:r>
        <w:rPr>
          <w:sz w:val="22"/>
        </w:rPr>
      </w:r>
    </w:p>
    <w:p>
      <w:pPr>
        <w:pStyle w:val="Normal"/>
        <w:spacing w:lineRule="exact" w:line="240"/>
        <w:jc w:val="both"/>
        <w:rPr/>
      </w:pPr>
      <w:r>
        <w:rPr>
          <w:sz w:val="22"/>
        </w:rPr>
        <w:tab/>
        <w:t>(b)</w:t>
        <w:tab/>
      </w:r>
      <w:r>
        <w:rPr>
          <w:sz w:val="22"/>
          <w:u w:val="single"/>
        </w:rPr>
        <w:t>Setoff</w:t>
      </w:r>
      <w:r>
        <w:rPr>
          <w:sz w:val="22"/>
        </w:rPr>
        <w:t xml:space="preserve">.  (A) </w:t>
      </w:r>
      <w:del w:id="16" w:author="sshackl" w:date="2001-02-14T11:03:00Z">
        <w:r>
          <w:rPr>
            <w:sz w:val="22"/>
          </w:rPr>
          <w:delText>Without affecting or prejudicing the provisions of this Agreement requiring the calculation and payment of certain net payment amounts, a</w:delText>
        </w:r>
      </w:del>
      <w:ins w:id="17" w:author="sshackl" w:date="2001-02-14T11:03:00Z">
        <w:r>
          <w:rPr>
            <w:sz w:val="22"/>
          </w:rPr>
          <w:t>A</w:t>
        </w:r>
      </w:ins>
      <w:r>
        <w:rPr>
          <w:sz w:val="22"/>
        </w:rPr>
        <w:t xml:space="preserve">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sz w:val="22"/>
        </w:rPr>
      </w:pPr>
      <w:r>
        <w:rPr>
          <w:sz w:val="22"/>
        </w:rPr>
        <w:tab/>
        <w:tab/>
        <w:t>(B)</w:t>
        <w:tab/>
        <w:t>Notwithstanding any provision to the contrary contained in this Agreement, the non-defaulting party shall not be required to pay to the defaulting party any amount until (1) 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pPr>
      <w:r>
        <w:rPr>
          <w:b/>
          <w:sz w:val="22"/>
        </w:rPr>
        <w:tab/>
        <w:t>(c)</w:t>
        <w:tab/>
      </w:r>
      <w:r>
        <w:rPr>
          <w:b/>
          <w:sz w:val="22"/>
          <w:u w:val="single"/>
        </w:rPr>
        <w:t>LIMITATION OF LIABILITY</w:t>
      </w:r>
      <w:r>
        <w:rPr>
          <w:b/>
          <w:sz w:val="22"/>
        </w:rPr>
        <w:t>.  NO PARTY SHALL BE REQUIRED TO PAY OR BE LIABLE FOR SPECIAL, PUNITIVE, EXEMPLARY, INCIDENTAL, CONSEQUENTIAL, OR INDIRECT DAMAGES (WHETHER OR NOT ARISING FROM ITS NEGLIGENCE) TO ANY OTHER PARTY; PROVIDED, HOWEVER, THAT NOTHING IN THIS PROVISION SHALL AFFECT OR IN ANY WAY LIMIT THE ENFORCEABILITY OF PARAGRAPH 1</w:t>
      </w:r>
      <w:ins w:id="18" w:author="sshackl" w:date="2001-02-14T11:03:00Z">
        <w:r>
          <w:rPr>
            <w:b/>
            <w:sz w:val="22"/>
          </w:rPr>
          <w:t>0</w:t>
        </w:r>
      </w:ins>
      <w:del w:id="19" w:author="sshackl" w:date="2001-02-14T11:03:00Z">
        <w:r>
          <w:rPr>
            <w:b/>
            <w:sz w:val="22"/>
          </w:rPr>
          <w:delText>1</w:delText>
        </w:r>
      </w:del>
      <w:r>
        <w:rPr>
          <w:b/>
          <w:sz w:val="22"/>
        </w:rPr>
        <w:t xml:space="preserve"> OF THIS AGREEMENT</w:t>
      </w:r>
      <w:ins w:id="20" w:author="sshackl" w:date="2001-02-14T11:04:00Z">
        <w:r>
          <w:rPr>
            <w:b/>
            <w:sz w:val="22"/>
          </w:rPr>
          <w:t>.</w:t>
        </w:r>
      </w:ins>
      <w:del w:id="21" w:author="sshackl" w:date="2001-02-14T11:04:00Z">
        <w:r>
          <w:rPr>
            <w:b/>
            <w:sz w:val="22"/>
          </w:rPr>
          <w:delText xml:space="preserve"> INCLUDING, WITHOUT LIMITATION, PARAGRAPH 11(G).  IN THE EVENT OF ANY CONFLICT BETWEEN THIS PROVISION AND PARAGRAPH 11(G), PARAGRAPH 11(G) SHALL PREVAIL.</w:delText>
        </w:r>
      </w:del>
      <w:r>
        <w:rPr>
          <w:b/>
          <w:sz w:val="22"/>
        </w:rPr>
        <w:t xml:space="preserve">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sz w:val="22"/>
        </w:rPr>
      </w:pPr>
      <w:r>
        <w:rPr>
          <w:sz w:val="22"/>
        </w:rPr>
        <w:tab/>
      </w:r>
    </w:p>
    <w:p>
      <w:pPr>
        <w:pStyle w:val="Normal"/>
        <w:jc w:val="both"/>
        <w:rPr>
          <w:sz w:val="22"/>
        </w:rPr>
      </w:pPr>
      <w:r>
        <w:rPr>
          <w:sz w:val="22"/>
        </w:rPr>
      </w:r>
      <w:r>
        <w:br w:type="page"/>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rPr>
            </w:pPr>
            <w:r>
              <w:rPr>
                <w:b/>
                <w:sz w:val="22"/>
              </w:rPr>
              <w:t>MERRILL LYNCH CANADA INC.</w:t>
            </w:r>
          </w:p>
          <w:p>
            <w:pPr>
              <w:pStyle w:val="Normal"/>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sz w:val="22"/>
                <w:u w:val="single"/>
              </w:rPr>
            </w:pPr>
            <w:r>
              <w:rPr>
                <w:sz w:val="22"/>
                <w:u w:val="single"/>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rPr>
            </w:pPr>
            <w:r>
              <w:rPr>
                <w:sz w:val="22"/>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ins w:id="24" w:author="sshackl" w:date="2001-02-22T12:53:00Z"/>
        </w:rPr>
      </w:pPr>
      <w:r>
        <w:rPr>
          <w:b/>
          <w:sz w:val="22"/>
        </w:rPr>
        <w:t>A</w:t>
      </w:r>
      <w:ins w:id="22" w:author="sshackl" w:date="2001-02-22T12:53:00Z">
        <w:r>
          <w:rPr>
            <w:b/>
            <w:sz w:val="22"/>
          </w:rPr>
          <w:t>ppendix A</w:t>
        </w:r>
      </w:ins>
      <w:del w:id="23" w:author="sshackl" w:date="2001-02-22T12:53:00Z">
        <w:r>
          <w:rPr>
            <w:b/>
            <w:sz w:val="22"/>
          </w:rPr>
          <w:delText>nnex II</w:delText>
        </w:r>
      </w:del>
    </w:p>
    <w:p>
      <w:pPr>
        <w:pStyle w:val="Normal"/>
        <w:jc w:val="center"/>
        <w:rPr>
          <w:b/>
          <w:sz w:val="22"/>
          <w:ins w:id="26" w:author="sshackl" w:date="2001-02-22T12:53:00Z"/>
        </w:rPr>
      </w:pPr>
      <w:ins w:id="25" w:author="sshackl" w:date="2001-02-22T12:53:00Z">
        <w:r>
          <w:rPr>
            <w:b/>
            <w:sz w:val="22"/>
          </w:rPr>
          <w:t>To</w:t>
        </w:r>
      </w:ins>
    </w:p>
    <w:p>
      <w:pPr>
        <w:pStyle w:val="Normal"/>
        <w:jc w:val="center"/>
        <w:rPr>
          <w:b/>
          <w:sz w:val="22"/>
          <w:ins w:id="28" w:author="sshackl" w:date="2001-02-22T12:53:00Z"/>
        </w:rPr>
      </w:pPr>
      <w:ins w:id="27" w:author="sshackl" w:date="2001-02-22T12:53:00Z">
        <w:r>
          <w:rPr>
            <w:b/>
            <w:sz w:val="22"/>
          </w:rPr>
          <w:t>Repurchase/Reverse Repurchase Agreement</w:t>
        </w:r>
      </w:ins>
    </w:p>
    <w:p>
      <w:pPr>
        <w:pStyle w:val="Normal"/>
        <w:jc w:val="center"/>
        <w:rPr>
          <w:b/>
          <w:sz w:val="22"/>
        </w:rPr>
      </w:pPr>
      <w:ins w:id="29" w:author="sshackl" w:date="2001-02-22T12:53:00Z">
        <w:r>
          <w:rPr>
            <w:b/>
            <w:sz w:val="22"/>
          </w:rPr>
          <w:t>Notices and Other Communications (Section 12.0)</w:t>
        </w:r>
      </w:ins>
    </w:p>
    <w:p>
      <w:pPr>
        <w:pStyle w:val="Normal"/>
        <w:rPr>
          <w:b/>
          <w:sz w:val="22"/>
        </w:rPr>
      </w:pPr>
      <w:r>
        <w:rPr>
          <w:b/>
          <w:sz w:val="22"/>
        </w:rPr>
      </w:r>
    </w:p>
    <w:p>
      <w:pPr>
        <w:pStyle w:val="Normal"/>
        <w:rPr>
          <w:sz w:val="22"/>
        </w:rPr>
      </w:pPr>
      <w:r>
        <w:rPr>
          <w:sz w:val="22"/>
        </w:rPr>
        <w:t>Names and Addresses for Communications Between Parties</w:t>
      </w:r>
    </w:p>
    <w:p>
      <w:pPr>
        <w:pStyle w:val="Normal"/>
        <w:rPr>
          <w:sz w:val="22"/>
        </w:rPr>
      </w:pPr>
      <w:r>
        <w:rPr>
          <w:sz w:val="22"/>
        </w:rPr>
      </w:r>
    </w:p>
    <w:p>
      <w:pPr>
        <w:pStyle w:val="Normal"/>
        <w:rPr>
          <w:sz w:val="22"/>
        </w:rPr>
      </w:pPr>
      <w:r>
        <w:rPr>
          <w:sz w:val="22"/>
        </w:rPr>
        <w:t>Merrill Lynch Canada Inc.</w:t>
        <w:tab/>
        <w:t>Enron North America Corp.</w:t>
      </w:r>
    </w:p>
    <w:p>
      <w:pPr>
        <w:pStyle w:val="Normal"/>
        <w:rPr/>
      </w:pPr>
      <w:r>
        <w:rPr>
          <w:sz w:val="22"/>
        </w:rPr>
        <w:tab/>
        <w:tab/>
        <w:tab/>
      </w:r>
      <w:ins w:id="30" w:author="sshackl" w:date="2001-02-22T12:54:00Z">
        <w:r>
          <w:rPr>
            <w:sz w:val="22"/>
          </w:rPr>
          <w:tab/>
        </w:r>
      </w:ins>
      <w:r>
        <w:rPr>
          <w:sz w:val="22"/>
        </w:rPr>
        <w:t>1400 Smith St. #3007B</w:t>
      </w:r>
    </w:p>
    <w:p>
      <w:pPr>
        <w:pStyle w:val="Normal"/>
        <w:rPr>
          <w:sz w:val="22"/>
        </w:rPr>
      </w:pPr>
      <w:r>
        <w:rPr>
          <w:sz w:val="22"/>
        </w:rPr>
        <w:tab/>
        <w:tab/>
        <w:tab/>
        <w:tab/>
        <w:t>Houston, Texas  77002-3761</w:t>
      </w:r>
    </w:p>
    <w:p>
      <w:pPr>
        <w:pStyle w:val="Normal"/>
        <w:ind w:firstLine="720" w:start="2880" w:end="0"/>
        <w:rPr>
          <w:sz w:val="22"/>
        </w:rPr>
      </w:pPr>
      <w:r>
        <w:rPr>
          <w:sz w:val="22"/>
        </w:rPr>
        <w:tab/>
        <w:t>Attention:  Director, Documentation</w:t>
      </w:r>
    </w:p>
    <w:p>
      <w:pPr>
        <w:pStyle w:val="Normal"/>
        <w:ind w:firstLine="720" w:start="2160" w:end="0"/>
        <w:rPr>
          <w:sz w:val="22"/>
        </w:rPr>
      </w:pPr>
      <w:r>
        <w:rPr>
          <w:sz w:val="22"/>
        </w:rPr>
        <w:tab/>
        <w:tab/>
        <w:t xml:space="preserve">     Department</w:t>
      </w:r>
    </w:p>
    <w:p>
      <w:pPr>
        <w:pStyle w:val="Normal"/>
        <w:ind w:firstLine="720" w:start="1440" w:end="0"/>
        <w:rPr>
          <w:sz w:val="22"/>
        </w:rPr>
      </w:pPr>
      <w:r>
        <w:rPr>
          <w:sz w:val="22"/>
        </w:rPr>
        <w:tab/>
        <w:tab/>
        <w:tab/>
        <w:t>Telex No.:  765443</w:t>
      </w:r>
    </w:p>
    <w:p>
      <w:pPr>
        <w:pStyle w:val="Normal"/>
        <w:rPr>
          <w:sz w:val="22"/>
        </w:rPr>
      </w:pPr>
      <w:r>
        <w:rPr>
          <w:sz w:val="22"/>
        </w:rPr>
        <w:tab/>
        <w:tab/>
        <w:tab/>
        <w:tab/>
        <w:tab/>
        <w:tab/>
        <w:t>Answerback:  ENRONCORP</w:t>
      </w:r>
    </w:p>
    <w:p>
      <w:pPr>
        <w:pStyle w:val="Normal"/>
        <w:rPr>
          <w:sz w:val="22"/>
        </w:rPr>
      </w:pPr>
      <w:r>
        <w:rPr>
          <w:sz w:val="22"/>
        </w:rPr>
        <w:tab/>
        <w:tab/>
        <w:tab/>
        <w:tab/>
        <w:tab/>
        <w:tab/>
        <w:t>Facsimile No.:  (713) 646-4816</w:t>
      </w:r>
    </w:p>
    <w:p>
      <w:pPr>
        <w:pStyle w:val="Normal"/>
        <w:rPr>
          <w:sz w:val="22"/>
        </w:rPr>
      </w:pPr>
      <w:r>
        <w:rPr>
          <w:sz w:val="22"/>
        </w:rPr>
        <w:tab/>
        <w:tab/>
        <w:tab/>
        <w:tab/>
        <w:tab/>
        <w:tab/>
        <w:t>Telephone No.:  (713) 853-3300</w:t>
      </w:r>
    </w:p>
    <w:p>
      <w:pPr>
        <w:pStyle w:val="Normal"/>
        <w:rPr>
          <w:sz w:val="22"/>
        </w:rPr>
      </w:pPr>
      <w:r>
        <w:rPr>
          <w:sz w:val="22"/>
        </w:rPr>
      </w:r>
    </w:p>
    <w:p>
      <w:pPr>
        <w:pStyle w:val="Normal"/>
        <w:rPr>
          <w:sz w:val="22"/>
        </w:rPr>
      </w:pPr>
      <w:r>
        <w:rPr>
          <w:sz w:val="22"/>
        </w:rPr>
      </w:r>
    </w:p>
    <w:p>
      <w:pPr>
        <w:pStyle w:val="Normal"/>
        <w:jc w:val="both"/>
        <w:rPr>
          <w:sz w:val="22"/>
        </w:rPr>
      </w:pPr>
      <w:r>
        <w:rPr>
          <w:sz w:val="22"/>
        </w:rPr>
        <w:t>A copy of any notice sent to Enron North America Corp. pursuant to Section 12.0 of the Agreement must also be sent to (i) Enron North America Corp., Attention:  Corporate Secretary at the above address and facsimile no. and (ii) Enron North America Corp., Attention:  Assistant General Counsel, Trading Group at the above address and facsimile No. (713) 646-4818.</w:t>
      </w:r>
    </w:p>
    <w:p>
      <w:pPr>
        <w:pStyle w:val="Normal"/>
        <w:rPr>
          <w:sz w:val="22"/>
        </w:rPr>
      </w:pPr>
      <w:r>
        <w:rPr>
          <w:sz w:val="22"/>
        </w:rPr>
      </w:r>
    </w:p>
    <w:p>
      <w:pPr>
        <w:pStyle w:val="Normal"/>
        <w:rPr>
          <w:sz w:val="22"/>
        </w:rPr>
      </w:pPr>
      <w:r>
        <w:rPr>
          <w:sz w:val="22"/>
        </w:rPr>
        <w:tab/>
        <w:t>If a Confirmation does not state the account to which Canadian Dollar payments are to be made, they shall be made as follows:</w:t>
      </w:r>
    </w:p>
    <w:p>
      <w:pPr>
        <w:pStyle w:val="Normal"/>
        <w:rPr>
          <w:sz w:val="22"/>
        </w:rPr>
      </w:pPr>
      <w:r>
        <w:rPr>
          <w:sz w:val="22"/>
        </w:rPr>
      </w:r>
    </w:p>
    <w:tbl>
      <w:tblPr>
        <w:tblW w:w="9990" w:type="dxa"/>
        <w:jc w:val="start"/>
        <w:tblInd w:w="0" w:type="dxa"/>
        <w:tblLayout w:type="fixed"/>
        <w:tblCellMar>
          <w:top w:w="0" w:type="dxa"/>
          <w:start w:w="0" w:type="dxa"/>
          <w:bottom w:w="0" w:type="dxa"/>
          <w:end w:w="0" w:type="dxa"/>
        </w:tblCellMar>
      </w:tblPr>
      <w:tblGrid>
        <w:gridCol w:w="5331"/>
        <w:gridCol w:w="17"/>
        <w:gridCol w:w="4626"/>
        <w:gridCol w:w="16"/>
      </w:tblGrid>
      <w:tr>
        <w:trPr/>
        <w:tc>
          <w:tcPr>
            <w:tcW w:w="5348" w:type="dxa"/>
            <w:gridSpan w:val="2"/>
            <w:tcBorders/>
          </w:tcPr>
          <w:p>
            <w:pPr>
              <w:pStyle w:val="Normal"/>
              <w:keepNext w:val="true"/>
              <w:jc w:val="both"/>
              <w:rPr>
                <w:sz w:val="22"/>
                <w:u w:val="single"/>
              </w:rPr>
            </w:pPr>
            <w:r>
              <w:rPr>
                <w:sz w:val="22"/>
                <w:u w:val="single"/>
              </w:rPr>
              <w:t>Payments to Enron North America Corp.</w:t>
            </w:r>
            <w:r>
              <w:rPr>
                <w:sz w:val="22"/>
              </w:rPr>
              <w:t>:</w:t>
            </w:r>
          </w:p>
        </w:tc>
        <w:tc>
          <w:tcPr>
            <w:tcW w:w="4626" w:type="dxa"/>
            <w:tcBorders/>
          </w:tcPr>
          <w:p>
            <w:pPr>
              <w:pStyle w:val="Heading4"/>
              <w:ind w:hanging="0" w:start="0"/>
              <w:rPr/>
            </w:pPr>
            <w:r>
              <w:rPr/>
              <w:t>Payments to Merrill Lynch  Canada Inc.:</w:t>
            </w:r>
          </w:p>
          <w:p>
            <w:pPr>
              <w:pStyle w:val="Normal"/>
              <w:keepNext w:val="true"/>
              <w:tabs>
                <w:tab w:val="clear" w:pos="720"/>
                <w:tab w:val="left" w:pos="1042" w:leader="none"/>
              </w:tabs>
              <w:jc w:val="both"/>
              <w:rPr>
                <w:sz w:val="20"/>
              </w:rPr>
            </w:pPr>
            <w:r>
              <w:rPr/>
              <w:tab/>
            </w:r>
          </w:p>
          <w:p>
            <w:pPr>
              <w:pStyle w:val="Normal"/>
              <w:keepNext w:val="true"/>
              <w:tabs>
                <w:tab w:val="clear" w:pos="720"/>
                <w:tab w:val="left" w:pos="1042" w:leader="none"/>
              </w:tabs>
              <w:jc w:val="both"/>
              <w:rPr>
                <w:sz w:val="22"/>
                <w:u w:val="single"/>
              </w:rPr>
            </w:pPr>
            <w:r>
              <w:rPr>
                <w:sz w:val="20"/>
              </w:rPr>
              <w:tab/>
            </w:r>
          </w:p>
        </w:tc>
      </w:tr>
      <w:tr>
        <w:trPr/>
        <w:tc>
          <w:tcPr>
            <w:tcW w:w="5348" w:type="dxa"/>
            <w:gridSpan w:val="2"/>
            <w:tcBorders/>
          </w:tcPr>
          <w:p>
            <w:pPr>
              <w:pStyle w:val="Normal"/>
              <w:keepNext w:val="true"/>
              <w:jc w:val="both"/>
              <w:rPr>
                <w:sz w:val="22"/>
              </w:rPr>
            </w:pPr>
            <w:r>
              <w:rPr>
                <w:sz w:val="22"/>
              </w:rPr>
              <w:t>Wire transfer to:  [NationsBank of Texas, N.A.</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 xml:space="preserve">Acct.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(ABA Routing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rPr>
            </w:pPr>
            <w:r>
              <w:rPr>
                <w:sz w:val="22"/>
                <w:u w:val="single"/>
              </w:rPr>
              <w:t>Billing and Accounting Matters to</w:t>
            </w:r>
          </w:p>
          <w:p>
            <w:pPr>
              <w:pStyle w:val="Normal"/>
              <w:keepNext w:val="true"/>
              <w:jc w:val="both"/>
              <w:rPr>
                <w:sz w:val="22"/>
              </w:rPr>
            </w:pPr>
            <w:r>
              <w:rPr>
                <w:sz w:val="22"/>
              </w:rPr>
              <w:t>Enron North America Corp.:</w:t>
            </w:r>
          </w:p>
        </w:tc>
        <w:tc>
          <w:tcPr>
            <w:tcW w:w="4659" w:type="dxa"/>
            <w:gridSpan w:val="2"/>
            <w:tcBorders/>
          </w:tcPr>
          <w:p>
            <w:pPr>
              <w:pStyle w:val="Normal"/>
              <w:keepNext w:val="true"/>
              <w:jc w:val="both"/>
              <w:rPr>
                <w:sz w:val="22"/>
                <w:u w:val="single"/>
              </w:rPr>
            </w:pPr>
            <w:r>
              <w:rPr>
                <w:sz w:val="22"/>
                <w:u w:val="single"/>
              </w:rPr>
              <w:t>Billing and Accounting Matters to</w:t>
            </w:r>
          </w:p>
          <w:p>
            <w:pPr>
              <w:pStyle w:val="Normal"/>
              <w:keepNext w:val="true"/>
              <w:jc w:val="both"/>
              <w:rPr>
                <w:sz w:val="22"/>
              </w:rPr>
            </w:pPr>
            <w:r>
              <w:rPr>
                <w:sz w:val="22"/>
              </w:rPr>
              <w:t>Merrill Lynch Canada Inc.</w:t>
            </w:r>
          </w:p>
          <w:p>
            <w:pPr>
              <w:pStyle w:val="Normal"/>
              <w:keepNext w:val="true"/>
              <w:jc w:val="both"/>
              <w:rPr>
                <w:sz w:val="22"/>
              </w:rPr>
            </w:pPr>
            <w:r>
              <w:rPr>
                <w:sz w:val="22"/>
              </w:rPr>
            </w:r>
          </w:p>
          <w:p>
            <w:pPr>
              <w:pStyle w:val="Normal"/>
              <w:keepNext w:val="true"/>
              <w:jc w:val="both"/>
              <w:rPr>
                <w:sz w:val="22"/>
                <w:u w:val="single"/>
              </w:rPr>
            </w:pPr>
            <w:r>
              <w:rPr>
                <w:sz w:val="22"/>
              </w:rPr>
              <w:t>:</w:t>
            </w:r>
          </w:p>
        </w:tc>
      </w:tr>
      <w:tr>
        <w:trPr/>
        <w:tc>
          <w:tcPr>
            <w:tcW w:w="5331" w:type="dxa"/>
            <w:tcBorders/>
          </w:tcPr>
          <w:p>
            <w:pPr>
              <w:pStyle w:val="Normal"/>
              <w:keepNext w:val="true"/>
              <w:jc w:val="both"/>
              <w:rPr>
                <w:sz w:val="22"/>
              </w:rPr>
            </w:pPr>
            <w:r>
              <w:rPr>
                <w:sz w:val="22"/>
              </w:rPr>
              <w:t>Enron North America Corp.</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P.O. Box 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Houston, Texas 77210-4428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Attn.:  Contract Settlement – Financial</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Facsimile No. (713) 646-4819</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659" w:type="dxa"/>
            <w:gridSpan w:val="2"/>
            <w:tcBorders/>
          </w:tcPr>
          <w:p>
            <w:pPr>
              <w:pStyle w:val="Normal"/>
              <w:keepNext w:val="true"/>
              <w:snapToGrid w:val="false"/>
              <w:jc w:val="both"/>
              <w:rPr>
                <w:sz w:val="22"/>
              </w:rPr>
            </w:pPr>
            <w:r>
              <w:rPr>
                <w:sz w:val="22"/>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/mnt/main-storage/datasets/enron-docs/doc/MLrepo-17797925e99c0369ae52241be61f209fcd65ba50790d39cee9330e62c9df235b.doc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18</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/mnt/main-storage/datasets/enron-docs/doc/MLrepo-17797925e99c0369ae52241be61f209fcd65ba50790d39cee9330e62c9df235b.doc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5080</wp:posOffset>
              </wp:positionV>
              <wp:extent cx="1568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56845" cy="146685"/>
                      </a:xfrm>
                      <a:prstGeom prst="rect"/>
                      <a:solidFill>
                        <a:srgbClr val="FFFFFF">
                          <a:alpha val="0"/>
                        </a:srgbClr>
                      </a:solidFill>
                    </wps:spPr>
                    <wps:txbx>
                      <w:txbxContent>
                        <w:p>
                          <w:pPr>
                            <w:pStyle w:val="Footer"/>
                            <w:rPr/>
                          </w:pPr>
                          <w:r>
                            <w:rPr>
                              <w:rStyle w:val="PageNumber"/>
                              <w:sz w:val="20"/>
                            </w:rPr>
                            <w:t>20</w:t>
                          </w:r>
                        </w:p>
                      </w:txbxContent>
                    </wps:txbx>
                    <wps:bodyPr anchor="t" lIns="0" tIns="0" rIns="0" bIns="0">
                      <a:noAutofit/>
                    </wps:bodyPr>
                  </wps:wsp>
                </a:graphicData>
              </a:graphic>
            </wp:anchor>
          </w:drawing>
        </mc:Choice>
        <mc:Fallback>
          <w:pict>
            <v:rect fillcolor="#FFFFFF" style="position:absolute;rotation:-0;width:12.35pt;height:11.55pt;mso-wrap-distance-left:0pt;mso-wrap-distance-right:0pt;mso-wrap-distance-top:0pt;mso-wrap-distance-bottom:0pt;margin-top:0.4pt;mso-position-vertical-relative:text;margin-left:235.05pt;mso-position-horizontal:center;mso-position-horizontal-relative:margin">
              <v:fill opacity="0f"/>
              <v:textbox inset="0in,0in,0in,0in">
                <w:txbxContent>
                  <w:p>
                    <w:pPr>
                      <w:pStyle w:val="Footer"/>
                      <w:rPr/>
                    </w:pPr>
                    <w:r>
                      <w:rPr>
                        <w:rStyle w:val="PageNumber"/>
                        <w:sz w:val="20"/>
                      </w:rPr>
                      <w:t>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32" w:leader="none"/>
      </w:tabs>
      <w:jc w:val="both"/>
      <w:outlineLvl w:val="0"/>
    </w:pPr>
    <w:rPr>
      <w:sz w:val="22"/>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0"/>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2001-02-14T14:28:00Z</dcterms:created>
  <dc:creator>mheard</dc:creator>
  <dc:description/>
  <dc:language>en-CA</dc:language>
  <cp:lastModifiedBy>sshackl</cp:lastModifiedBy>
  <cp:lastPrinted>2001-02-22T13:12:00Z</cp:lastPrinted>
  <dcterms:modified xsi:type="dcterms:W3CDTF">2001-02-22T16:42:00Z</dcterms:modified>
  <cp:revision>10</cp:revision>
  <dc:subject/>
  <dc:title>ANNEX I</dc:title>
</cp:coreProperties>
</file>