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imes New Roman" w:hAnsi="Times New Roman" w:cs="Times New Roman"/>
          <w:b/>
          <w:bCs/>
          <w:sz w:val="56"/>
        </w:rPr>
      </w:pPr>
      <w:r>
        <w:rPr>
          <w:rFonts w:cs="Times New Roman" w:ascii="Times New Roman" w:hAnsi="Times New Roman"/>
          <w:b/>
          <w:bCs/>
          <w:sz w:val="56"/>
        </w:rPr>
        <w:t>Merrill Lynch</w:t>
      </w:r>
    </w:p>
    <w:p>
      <w:pPr>
        <w:pStyle w:val="Heading"/>
        <w:rPr>
          <w:sz w:val="36"/>
        </w:rPr>
      </w:pPr>
      <w:r>
        <w:rPr>
          <w:sz w:val="36"/>
        </w:rPr>
        <w:t>Analyst Conference Call</w:t>
      </w:r>
    </w:p>
    <w:p>
      <w:pPr>
        <w:pStyle w:val="Heading"/>
        <w:rPr>
          <w:sz w:val="40"/>
        </w:rPr>
      </w:pPr>
      <w:r>
        <w:rPr>
          <w:sz w:val="40"/>
        </w:rPr>
      </w:r>
    </w:p>
    <w:p>
      <w:pPr>
        <w:pStyle w:val="Heading"/>
        <w:shd w:fill="CCCCCC" w:val="clear"/>
        <w:rPr>
          <w:b/>
          <w:bCs/>
          <w:sz w:val="96"/>
        </w:rPr>
      </w:pPr>
      <w:r>
        <w:rPr>
          <w:b/>
          <w:bCs/>
          <w:sz w:val="96"/>
        </w:rPr>
        <w:t>Power &amp; Gas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72"/>
        <w:gridCol w:w="3673"/>
        <w:gridCol w:w="3671"/>
      </w:tblGrid>
      <w:tr>
        <w:trPr/>
        <w:tc>
          <w:tcPr>
            <w:tcW w:w="11016" w:type="dxa"/>
            <w:gridSpan w:val="3"/>
            <w:tcBorders/>
          </w:tcPr>
          <w:p>
            <w:pPr>
              <w:pStyle w:val="Normal"/>
              <w:jc w:val="center"/>
              <w:rPr>
                <w:sz w:val="36"/>
                <w:u w:val="single"/>
              </w:rPr>
            </w:pPr>
            <w:r>
              <w:rPr>
                <w:sz w:val="36"/>
                <w:u w:val="single"/>
              </w:rPr>
              <w:t>Speakers:</w:t>
            </w:r>
          </w:p>
        </w:tc>
      </w:tr>
      <w:tr>
        <w:trPr/>
        <w:tc>
          <w:tcPr>
            <w:tcW w:w="3672" w:type="dxa"/>
            <w:tcBorders/>
          </w:tcPr>
          <w:p>
            <w:pPr>
              <w:pStyle w:val="Heading1"/>
              <w:spacing w:before="120" w:after="0"/>
              <w:ind w:hanging="0" w:start="0"/>
              <w:rPr>
                <w:rFonts w:cs="Arial"/>
              </w:rPr>
            </w:pPr>
            <w:r>
              <w:rPr>
                <w:rFonts w:cs="Arial"/>
              </w:rPr>
              <w:t>Steve Fleishman</w:t>
            </w:r>
          </w:p>
        </w:tc>
        <w:tc>
          <w:tcPr>
            <w:tcW w:w="3673" w:type="dxa"/>
            <w:tcBorders/>
          </w:tcPr>
          <w:p>
            <w:pPr>
              <w:pStyle w:val="Normal"/>
              <w:spacing w:before="120" w:after="0"/>
              <w:jc w:val="center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Elizabeth Parrella</w:t>
            </w:r>
          </w:p>
        </w:tc>
        <w:tc>
          <w:tcPr>
            <w:tcW w:w="3671" w:type="dxa"/>
            <w:tcBorders/>
          </w:tcPr>
          <w:p>
            <w:pPr>
              <w:pStyle w:val="Normal"/>
              <w:spacing w:before="120" w:after="0"/>
              <w:jc w:val="center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Donato Eassey</w:t>
            </w:r>
          </w:p>
        </w:tc>
      </w:tr>
      <w:tr>
        <w:trPr/>
        <w:tc>
          <w:tcPr>
            <w:tcW w:w="3672" w:type="dxa"/>
            <w:tcBorders/>
          </w:tcPr>
          <w:p>
            <w:pPr>
              <w:pStyle w:val="Normal"/>
              <w:jc w:val="center"/>
              <w:rPr>
                <w:rFonts w:cs="Arial"/>
                <w:i/>
                <w:i/>
                <w:iCs/>
                <w:sz w:val="28"/>
              </w:rPr>
            </w:pPr>
            <w:r>
              <w:rPr>
                <w:rFonts w:cs="Arial"/>
                <w:i/>
                <w:iCs/>
                <w:sz w:val="28"/>
              </w:rPr>
              <w:t>Electric Utilities</w:t>
            </w:r>
          </w:p>
        </w:tc>
        <w:tc>
          <w:tcPr>
            <w:tcW w:w="3673" w:type="dxa"/>
            <w:tcBorders/>
          </w:tcPr>
          <w:p>
            <w:pPr>
              <w:pStyle w:val="Normal"/>
              <w:jc w:val="center"/>
              <w:rPr>
                <w:rFonts w:cs="Arial"/>
                <w:i/>
                <w:i/>
                <w:iCs/>
                <w:sz w:val="28"/>
              </w:rPr>
            </w:pPr>
            <w:r>
              <w:rPr>
                <w:rFonts w:cs="Arial"/>
                <w:i/>
                <w:iCs/>
                <w:sz w:val="28"/>
              </w:rPr>
              <w:t>IPPs</w:t>
            </w:r>
          </w:p>
        </w:tc>
        <w:tc>
          <w:tcPr>
            <w:tcW w:w="3671" w:type="dxa"/>
            <w:tcBorders/>
          </w:tcPr>
          <w:p>
            <w:pPr>
              <w:pStyle w:val="Normal"/>
              <w:jc w:val="center"/>
              <w:rPr>
                <w:rFonts w:cs="Arial"/>
                <w:i/>
                <w:i/>
                <w:iCs/>
                <w:sz w:val="28"/>
              </w:rPr>
            </w:pPr>
            <w:r>
              <w:rPr>
                <w:rFonts w:cs="Arial"/>
                <w:i/>
                <w:iCs/>
                <w:sz w:val="28"/>
              </w:rPr>
              <w:t>Natural Gas</w:t>
            </w:r>
          </w:p>
        </w:tc>
      </w:tr>
    </w:tbl>
    <w:p>
      <w:pPr>
        <w:pStyle w:val="Normal"/>
        <w:jc w:val="center"/>
        <w:rPr>
          <w:sz w:val="16"/>
        </w:rPr>
      </w:pPr>
      <w:r>
        <w:rPr>
          <w:sz w:val="16"/>
        </w:rPr>
      </w:r>
    </w:p>
    <w:tbl>
      <w:tblPr>
        <w:tblW w:w="637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98"/>
        <w:gridCol w:w="3275"/>
      </w:tblGrid>
      <w:tr>
        <w:trPr/>
        <w:tc>
          <w:tcPr>
            <w:tcW w:w="3098" w:type="dxa"/>
            <w:tcBorders/>
          </w:tcPr>
          <w:p>
            <w:pPr>
              <w:pStyle w:val="Normal"/>
              <w:spacing w:before="120" w:after="0"/>
              <w:jc w:val="center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Leo Kelser</w:t>
            </w:r>
          </w:p>
        </w:tc>
        <w:tc>
          <w:tcPr>
            <w:tcW w:w="3275" w:type="dxa"/>
            <w:tcBorders/>
          </w:tcPr>
          <w:p>
            <w:pPr>
              <w:pStyle w:val="Normal"/>
              <w:spacing w:before="120" w:after="0"/>
              <w:jc w:val="center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Randy Ollenberger</w:t>
            </w:r>
          </w:p>
        </w:tc>
      </w:tr>
      <w:tr>
        <w:trPr/>
        <w:tc>
          <w:tcPr>
            <w:tcW w:w="3098" w:type="dxa"/>
            <w:tcBorders/>
          </w:tcPr>
          <w:p>
            <w:pPr>
              <w:pStyle w:val="Normal"/>
              <w:jc w:val="center"/>
              <w:rPr>
                <w:rFonts w:cs="Arial"/>
                <w:i/>
                <w:i/>
                <w:iCs/>
                <w:sz w:val="28"/>
              </w:rPr>
            </w:pPr>
            <w:r>
              <w:rPr>
                <w:rFonts w:cs="Arial"/>
                <w:i/>
                <w:iCs/>
                <w:sz w:val="28"/>
              </w:rPr>
              <w:t>Fixed Income, Utilities</w:t>
            </w:r>
          </w:p>
        </w:tc>
        <w:tc>
          <w:tcPr>
            <w:tcW w:w="3275" w:type="dxa"/>
            <w:tcBorders/>
          </w:tcPr>
          <w:p>
            <w:pPr>
              <w:pStyle w:val="Normal"/>
              <w:jc w:val="center"/>
              <w:rPr>
                <w:rFonts w:cs="Arial"/>
                <w:i/>
                <w:i/>
                <w:iCs/>
                <w:sz w:val="28"/>
              </w:rPr>
            </w:pPr>
            <w:r>
              <w:rPr>
                <w:rFonts w:cs="Arial"/>
                <w:i/>
                <w:iCs/>
                <w:sz w:val="28"/>
              </w:rPr>
              <w:t>Canadian Gas</w:t>
            </w:r>
          </w:p>
        </w:tc>
      </w:tr>
    </w:tbl>
    <w:p>
      <w:pPr>
        <w:pStyle w:val="Normal"/>
        <w:tabs>
          <w:tab w:val="clear" w:pos="720"/>
          <w:tab w:val="left" w:pos="10800" w:leader="none"/>
        </w:tabs>
        <w:rPr>
          <w:sz w:val="32"/>
          <w:u w:val="single"/>
        </w:rPr>
      </w:pPr>
      <w:r>
        <w:rPr>
          <w:sz w:val="32"/>
          <w:u w:val="single"/>
        </w:rPr>
        <w:tab/>
      </w:r>
    </w:p>
    <w:p>
      <w:pPr>
        <w:pStyle w:val="Normal"/>
        <w:jc w:val="center"/>
        <w:rPr>
          <w:sz w:val="32"/>
          <w:u w:val="single"/>
        </w:rPr>
      </w:pPr>
      <w:r>
        <w:rPr>
          <w:sz w:val="32"/>
          <w:u w:val="single"/>
        </w:rPr>
      </w:r>
    </w:p>
    <w:p>
      <w:pPr>
        <w:pStyle w:val="Normal"/>
        <w:jc w:val="center"/>
        <w:rPr>
          <w:sz w:val="36"/>
          <w:u w:val="single"/>
        </w:rPr>
      </w:pPr>
      <w:r>
        <w:rPr>
          <w:sz w:val="36"/>
          <w:u w:val="single"/>
        </w:rPr>
        <w:t>Topics:</w:t>
      </w:r>
    </w:p>
    <w:p>
      <w:pPr>
        <w:pStyle w:val="Heading1"/>
        <w:spacing w:before="120" w:after="0"/>
        <w:ind w:hanging="0" w:start="0"/>
        <w:rPr>
          <w:rFonts w:cs="Arial"/>
        </w:rPr>
      </w:pPr>
      <w:r>
        <w:rPr>
          <w:rFonts w:cs="Arial"/>
        </w:rPr>
        <w:t>Sector Update</w:t>
      </w:r>
    </w:p>
    <w:p>
      <w:pPr>
        <w:pStyle w:val="Heading1"/>
        <w:spacing w:before="0" w:after="0"/>
        <w:ind w:hanging="0" w:start="0"/>
        <w:rPr>
          <w:rFonts w:cs="Arial"/>
        </w:rPr>
      </w:pPr>
      <w:r>
        <w:rPr>
          <w:rFonts w:cs="Arial"/>
        </w:rPr>
        <w:t>California</w:t>
      </w:r>
    </w:p>
    <w:p>
      <w:pPr>
        <w:pStyle w:val="Normal"/>
        <w:jc w:val="center"/>
        <w:rPr>
          <w:rFonts w:cs="Arial"/>
          <w:sz w:val="32"/>
        </w:rPr>
      </w:pPr>
      <w:r>
        <w:rPr>
          <w:rFonts w:cs="Arial"/>
          <w:sz w:val="32"/>
        </w:rPr>
        <w:t>Recent M&amp;A Activity</w:t>
      </w:r>
    </w:p>
    <w:p>
      <w:pPr>
        <w:pStyle w:val="Normal"/>
        <w:jc w:val="center"/>
        <w:rPr>
          <w:rFonts w:cs="Arial"/>
          <w:sz w:val="32"/>
        </w:rPr>
      </w:pPr>
      <w:r>
        <w:rPr>
          <w:rFonts w:cs="Arial"/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b/>
          <w:bCs/>
          <w:sz w:val="40"/>
        </w:rPr>
      </w:pPr>
      <w:r>
        <w:rPr>
          <w:b/>
          <w:bCs/>
          <w:sz w:val="40"/>
        </w:rPr>
        <w:t>Monday, September 24, 2001</w:t>
      </w:r>
    </w:p>
    <w:p>
      <w:pPr>
        <w:pStyle w:val="Normal"/>
        <w:jc w:val="center"/>
        <w:rPr>
          <w:b/>
          <w:bCs/>
          <w:sz w:val="40"/>
        </w:rPr>
      </w:pPr>
      <w:r>
        <w:rPr>
          <w:b/>
          <w:bCs/>
          <w:sz w:val="40"/>
        </w:rPr>
        <w:t>2:00 p.m. (EDT)</w:t>
      </w:r>
    </w:p>
    <w:p>
      <w:pPr>
        <w:pStyle w:val="Normal"/>
        <w:tabs>
          <w:tab w:val="clear" w:pos="720"/>
          <w:tab w:val="left" w:pos="10800" w:leader="none"/>
        </w:tabs>
        <w:rPr>
          <w:sz w:val="32"/>
          <w:u w:val="single"/>
        </w:rPr>
      </w:pPr>
      <w:r>
        <w:rPr>
          <w:sz w:val="32"/>
          <w:u w:val="single"/>
        </w:rPr>
        <w:tab/>
      </w:r>
    </w:p>
    <w:p>
      <w:pPr>
        <w:pStyle w:val="Normal"/>
        <w:jc w:val="center"/>
        <w:rPr>
          <w:sz w:val="32"/>
          <w:u w:val="single"/>
        </w:rPr>
      </w:pPr>
      <w:r>
        <w:rPr>
          <w:sz w:val="32"/>
          <w:u w:val="single"/>
        </w:rPr>
      </w:r>
    </w:p>
    <w:p>
      <w:pPr>
        <w:pStyle w:val="Normal"/>
        <w:jc w:val="center"/>
        <w:rPr>
          <w:sz w:val="32"/>
          <w:u w:val="single"/>
        </w:rPr>
      </w:pPr>
      <w:r>
        <w:rPr>
          <w:sz w:val="32"/>
          <w:u w:val="single"/>
        </w:rPr>
        <w:t>Dial-in numbers: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888-208-1830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719-457-2679</w:t>
      </w:r>
    </w:p>
    <w:p>
      <w:pPr>
        <w:pStyle w:val="Normal"/>
        <w:jc w:val="center"/>
        <w:rPr>
          <w:sz w:val="32"/>
          <w:u w:val="single"/>
        </w:rPr>
      </w:pPr>
      <w:r>
        <w:rPr>
          <w:sz w:val="32"/>
          <w:u w:val="single"/>
        </w:rPr>
      </w:r>
    </w:p>
    <w:p>
      <w:pPr>
        <w:pStyle w:val="Normal"/>
        <w:jc w:val="center"/>
        <w:rPr>
          <w:sz w:val="32"/>
          <w:u w:val="single"/>
        </w:rPr>
      </w:pPr>
      <w:r>
        <w:rPr>
          <w:sz w:val="32"/>
          <w:u w:val="single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Replay begins at 4:00 p.m. (EDT)</w:t>
      </w:r>
    </w:p>
    <w:p>
      <w:pPr>
        <w:pStyle w:val="Heading2"/>
        <w:ind w:hanging="0" w:start="0"/>
        <w:rPr/>
      </w:pPr>
      <w:r>
        <w:rPr/>
        <w:t>Replay numbers: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800-759-7431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402-220-8533</w:t>
      </w:r>
    </w:p>
    <w:sectPr>
      <w:type w:val="nextPage"/>
      <w:pgSz w:w="12240" w:h="15840"/>
      <w:pgMar w:left="720" w:right="720" w:gutter="0" w:header="0" w:top="100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0"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2001-09-21T17:34:00Z</dcterms:created>
  <dc:creator>Antonio</dc:creator>
  <dc:description/>
  <dc:language>en-CA</dc:language>
  <cp:lastModifiedBy>Antonio</cp:lastModifiedBy>
  <dcterms:modified xsi:type="dcterms:W3CDTF">2001-09-24T00:10:00Z</dcterms:modified>
  <cp:revision>6</cp:revision>
  <dc:subject/>
  <dc:title>Merrill Lynch</dc:title>
</cp:coreProperties>
</file>