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b/>
          <w:spacing w:val="-3"/>
        </w:rPr>
      </w:pPr>
      <w:r>
        <w:rPr>
          <w:b/>
          <w:spacing w:val="-3"/>
        </w:rPr>
        <w:t>LITIGATION UNIT</w:t>
        <w:tab/>
      </w:r>
      <w:r>
        <w:rPr>
          <w:b/>
          <w:spacing w:val="-3"/>
          <w:sz w:val="32"/>
        </w:rPr>
        <w:t>VIA EMAIL</w:t>
      </w:r>
    </w:p>
    <w:p>
      <w:pPr>
        <w:pStyle w:val="Normal"/>
        <w:jc w:val="both"/>
        <w:rPr>
          <w:b/>
          <w:spacing w:val="-3"/>
        </w:rPr>
      </w:pPr>
      <w:r>
        <w:rPr>
          <w:b/>
          <w:spacing w:val="-3"/>
        </w:rPr>
      </w:r>
    </w:p>
    <w:p>
      <w:pPr>
        <w:pStyle w:val="Normal"/>
        <w:jc w:val="center"/>
        <w:rPr>
          <w:b/>
          <w:spacing w:val="-3"/>
        </w:rPr>
      </w:pPr>
      <w:r>
        <w:rPr>
          <w:b/>
          <w:spacing w:val="-3"/>
          <w:u w:val="single"/>
        </w:rPr>
        <w:t>M E M O R A N D U M</w:t>
      </w:r>
    </w:p>
    <w:p>
      <w:pPr>
        <w:pStyle w:val="Normal"/>
        <w:jc w:val="both"/>
        <w:rPr>
          <w:b/>
          <w:spacing w:val="-3"/>
        </w:rPr>
      </w:pPr>
      <w:r>
        <w:rPr>
          <w:b/>
          <w:spacing w:val="-3"/>
        </w:rPr>
      </w:r>
    </w:p>
    <w:p>
      <w:pPr>
        <w:pStyle w:val="Normal"/>
        <w:tabs>
          <w:tab w:val="clear" w:pos="720"/>
          <w:tab w:val="left" w:pos="1440" w:leader="none"/>
          <w:tab w:val="right" w:pos="9360" w:leader="none"/>
        </w:tabs>
        <w:rPr>
          <w:b/>
          <w:bCs/>
          <w:spacing w:val="-3"/>
        </w:rPr>
      </w:pPr>
      <w:r>
        <w:rPr/>
        <w:t>TO:</w:t>
        <w:tab/>
        <w:t>Mr. James V. Derrick, Jr.</w:t>
      </w:r>
      <w:r>
        <w:rPr>
          <w:b/>
          <w:bCs/>
          <w:spacing w:val="-3"/>
        </w:rPr>
        <w:t xml:space="preserve"> </w:t>
        <w:tab/>
      </w:r>
      <w:r>
        <w:rPr>
          <w:b/>
          <w:bCs/>
        </w:rPr>
        <w:t>CONFIDENTIAL</w:t>
      </w:r>
    </w:p>
    <w:p>
      <w:pPr>
        <w:pStyle w:val="Normal"/>
        <w:tabs>
          <w:tab w:val="clear" w:pos="720"/>
          <w:tab w:val="left" w:pos="1440" w:leader="none"/>
        </w:tabs>
        <w:rPr>
          <w:b/>
          <w:bCs/>
          <w:spacing w:val="-3"/>
        </w:rPr>
      </w:pPr>
      <w:r>
        <w:rPr>
          <w:b/>
          <w:bCs/>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b/>
          <w:bCs/>
          <w:spacing w:val="-3"/>
        </w:rPr>
      </w:pPr>
      <w:r>
        <w:rPr>
          <w:b/>
          <w:bCs/>
          <w:spacing w:val="-3"/>
        </w:rPr>
      </w:r>
    </w:p>
    <w:p>
      <w:pPr>
        <w:pStyle w:val="Normal"/>
        <w:tabs>
          <w:tab w:val="clear" w:pos="720"/>
          <w:tab w:val="left" w:pos="360" w:leader="none"/>
          <w:tab w:val="left" w:pos="1440" w:leader="none"/>
        </w:tabs>
        <w:ind w:hanging="360" w:start="360" w:end="0"/>
        <w:rPr>
          <w:spacing w:val="-3"/>
        </w:rPr>
      </w:pPr>
      <w:r>
        <w:rPr>
          <w:spacing w:val="-3"/>
        </w:rPr>
        <w:t>RE:</w:t>
        <w:tab/>
        <w:t>Weekly Report--Major Litigation/Claims</w:t>
      </w:r>
      <w:r>
        <w:rPr>
          <w:rStyle w:val="FootnoteCharacters"/>
          <w:rStyle w:val="FootnoteReference"/>
          <w:spacing w:val="-5"/>
          <w:position w:val="0"/>
          <w:sz w:val="24"/>
          <w:vertAlign w:val="baseline"/>
        </w:rPr>
        <w:footnoteReference w:customMarkFollows="1" w:id="2"/>
        <w:t>*</w:t>
      </w:r>
    </w:p>
    <w:p>
      <w:pPr>
        <w:pStyle w:val="TOC1"/>
        <w:tabs>
          <w:tab w:val="clear" w:pos="9360"/>
          <w:tab w:val="left" w:pos="1440" w:leader="none"/>
        </w:tabs>
        <w:spacing w:before="0" w:after="0"/>
        <w:rPr>
          <w:caps w:val="false"/>
          <w:smallCaps w:val="false"/>
          <w:shadow w:val="false"/>
          <w:spacing w:val="-3"/>
        </w:rPr>
      </w:pPr>
      <w:r>
        <w:rPr>
          <w:caps w:val="false"/>
          <w:smallCaps w:val="false"/>
          <w:shadow w:val="false"/>
          <w:spacing w:val="-3"/>
        </w:rPr>
      </w:r>
    </w:p>
    <w:p>
      <w:pPr>
        <w:pStyle w:val="Normal"/>
        <w:tabs>
          <w:tab w:val="clear" w:pos="720"/>
          <w:tab w:val="left" w:pos="1440" w:leader="none"/>
        </w:tabs>
        <w:rPr>
          <w:spacing w:val="-3"/>
        </w:rPr>
      </w:pPr>
      <w:r>
        <w:rPr>
          <w:spacing w:val="-3"/>
        </w:rPr>
        <w:t>DATE:</w:t>
        <w:tab/>
        <w:t>May 18, 2001</w:t>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b/>
          <w:bCs/>
          <w:spacing w:val="-3"/>
        </w:rPr>
      </w:pPr>
      <w:r>
        <w:rPr>
          <w:b/>
          <w:bCs/>
          <w:spacing w:val="-3"/>
        </w:rPr>
        <w:t>_______________________________________________________________________________</w:t>
      </w:r>
    </w:p>
    <w:p>
      <w:pPr>
        <w:pStyle w:val="Normal"/>
        <w:jc w:val="center"/>
        <w:rPr>
          <w:b/>
          <w:bCs/>
          <w:spacing w:val="-3"/>
          <w:u w:val="single"/>
        </w:rPr>
      </w:pPr>
      <w:r>
        <w:rPr>
          <w:b/>
          <w:bCs/>
          <w:spacing w:val="-3"/>
          <w:u w:val="single"/>
        </w:rPr>
      </w:r>
    </w:p>
    <w:p>
      <w:pPr>
        <w:pStyle w:val="Normal"/>
        <w:jc w:val="center"/>
        <w:rPr>
          <w:b/>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Birhiray v. Enron Corp.</w:t>
        <w:tab/>
        <w:t>[NO UPDATE]</w:t>
      </w:r>
    </w:p>
    <w:p>
      <w:pPr>
        <w:pStyle w:val="BodyText"/>
        <w:tabs>
          <w:tab w:val="clear" w:pos="9360"/>
        </w:tabs>
        <w:rPr/>
      </w:pPr>
      <w:r>
        <w:rPr/>
        <w:t>(Houston, Texas federal court) (Vote) (Martin Wickliff, Wickliff &amp; Hall—outside counsel)</w:t>
      </w:r>
    </w:p>
    <w:p>
      <w:pPr>
        <w:pStyle w:val="BodyText"/>
        <w:numPr>
          <w:ilvl w:val="0"/>
          <w:numId w:val="12"/>
        </w:numPr>
        <w:tabs>
          <w:tab w:val="clear" w:pos="9360"/>
          <w:tab w:val="left" w:pos="360" w:leader="none"/>
        </w:tabs>
        <w:ind w:hanging="360" w:start="360" w:end="0"/>
        <w:rPr/>
      </w:pPr>
      <w:r>
        <w:rPr/>
        <w:t>Plaintiff alleges discrimination and wrongful discharge under Title VII and intentional infliction of emotional distress</w:t>
      </w:r>
    </w:p>
    <w:p>
      <w:pPr>
        <w:pStyle w:val="BodyText"/>
        <w:numPr>
          <w:ilvl w:val="0"/>
          <w:numId w:val="12"/>
        </w:numPr>
        <w:tabs>
          <w:tab w:val="clear" w:pos="9360"/>
          <w:tab w:val="left" w:pos="360" w:leader="none"/>
        </w:tabs>
        <w:ind w:hanging="360" w:start="360" w:end="0"/>
        <w:rPr/>
      </w:pPr>
      <w:r>
        <w:rPr/>
        <w:t>Plaintiff seeks actual, compensatory and punitive damages and fees and costs</w:t>
      </w:r>
    </w:p>
    <w:p>
      <w:pPr>
        <w:pStyle w:val="BodyText"/>
        <w:numPr>
          <w:ilvl w:val="0"/>
          <w:numId w:val="12"/>
        </w:numPr>
        <w:tabs>
          <w:tab w:val="clear" w:pos="9360"/>
          <w:tab w:val="left" w:pos="360" w:leader="none"/>
        </w:tabs>
        <w:ind w:hanging="360" w:start="360" w:end="0"/>
        <w:rPr/>
      </w:pPr>
      <w:r>
        <w:rPr/>
        <w:t>Answer filed February 2, 2001</w:t>
      </w:r>
    </w:p>
    <w:p>
      <w:pPr>
        <w:pStyle w:val="BodyText"/>
        <w:numPr>
          <w:ilvl w:val="0"/>
          <w:numId w:val="12"/>
        </w:numPr>
        <w:tabs>
          <w:tab w:val="clear" w:pos="9360"/>
          <w:tab w:val="left" w:pos="360" w:leader="none"/>
        </w:tabs>
        <w:ind w:hanging="360" w:start="360" w:end="0"/>
        <w:rPr/>
      </w:pPr>
      <w:r>
        <w:rPr/>
        <w:t>Initial pretrial conference rescheduled for May 3, 2001</w:t>
      </w:r>
    </w:p>
    <w:p>
      <w:pPr>
        <w:pStyle w:val="BodyText"/>
        <w:numPr>
          <w:ilvl w:val="0"/>
          <w:numId w:val="12"/>
        </w:numPr>
        <w:tabs>
          <w:tab w:val="clear" w:pos="9360"/>
          <w:tab w:val="left" w:pos="360" w:leader="none"/>
        </w:tabs>
        <w:ind w:hanging="360" w:start="360" w:end="0"/>
        <w:rPr/>
      </w:pPr>
      <w:r>
        <w:rPr/>
        <w:t>Initial discovery initiated</w:t>
      </w:r>
    </w:p>
    <w:p>
      <w:pPr>
        <w:pStyle w:val="BodyText"/>
        <w:tabs>
          <w:tab w:val="clear" w:pos="9360"/>
          <w:tab w:val="left" w:pos="360" w:leader="none"/>
        </w:tabs>
        <w:rPr>
          <w:b/>
          <w:bCs/>
        </w:rPr>
      </w:pPr>
      <w:r>
        <w:rPr>
          <w:b/>
          <w:bCs/>
        </w:rPr>
      </w:r>
    </w:p>
    <w:p>
      <w:pPr>
        <w:pStyle w:val="BodyText"/>
        <w:rPr>
          <w:b/>
          <w:bCs/>
          <w:i/>
          <w:i/>
          <w:iCs/>
        </w:rPr>
      </w:pPr>
      <w:r>
        <w:rPr>
          <w:b/>
          <w:bCs/>
          <w:i/>
          <w:iCs/>
        </w:rPr>
        <w:tab/>
        <w:t>[NO UPDATE]</w:t>
      </w:r>
    </w:p>
    <w:p>
      <w:pPr>
        <w:pStyle w:val="BodyText"/>
        <w:tabs>
          <w:tab w:val="left" w:pos="360" w:leader="none"/>
          <w:tab w:val="right" w:pos="9360" w:leader="none"/>
        </w:tabs>
        <w:rPr>
          <w:b/>
          <w:bCs/>
          <w:i/>
          <w:i/>
          <w:iCs/>
        </w:rPr>
      </w:pPr>
      <w:r>
        <w:rPr>
          <w:b/>
          <w:bCs/>
          <w:i/>
          <w:iCs/>
        </w:rPr>
        <w:t>Callison v. Enron Corp., EOG Resources f/k/a Enron Oil &amp; Gas Co., and Al Luckow</w:t>
      </w:r>
    </w:p>
    <w:p>
      <w:pPr>
        <w:pStyle w:val="BodyText"/>
        <w:tabs>
          <w:tab w:val="clear" w:pos="9360"/>
          <w:tab w:val="left" w:pos="360" w:leader="none"/>
        </w:tabs>
        <w:rPr/>
      </w:pPr>
      <w:r>
        <w:rPr/>
        <w:t>(Cheyenne, Wyoming federal court) (Vote) (Drake D. Hill, Brown, Drew &amp; Massey, L.L.P.—local counsel)</w:t>
      </w:r>
    </w:p>
    <w:p>
      <w:pPr>
        <w:pStyle w:val="BodyText"/>
        <w:numPr>
          <w:ilvl w:val="0"/>
          <w:numId w:val="4"/>
        </w:numPr>
        <w:tabs>
          <w:tab w:val="clear" w:pos="9360"/>
          <w:tab w:val="left" w:pos="360" w:leader="none"/>
        </w:tabs>
        <w:ind w:hanging="360" w:start="360" w:end="0"/>
        <w:rPr>
          <w:i/>
          <w:i/>
          <w:iCs/>
        </w:rPr>
      </w:pPr>
      <w:r>
        <w:rPr/>
        <w:t>Plaintiff, an EOG employee on LTD at time of spin off, alleges wrongful discharge and intentional discrimination under the ADA and negligent hiring</w:t>
      </w:r>
    </w:p>
    <w:p>
      <w:pPr>
        <w:pStyle w:val="BodyText"/>
        <w:numPr>
          <w:ilvl w:val="0"/>
          <w:numId w:val="4"/>
        </w:numPr>
        <w:tabs>
          <w:tab w:val="clear" w:pos="9360"/>
          <w:tab w:val="left" w:pos="360" w:leader="none"/>
        </w:tabs>
        <w:ind w:hanging="360" w:start="360" w:end="0"/>
        <w:rPr>
          <w:i/>
          <w:i/>
          <w:iCs/>
        </w:rPr>
      </w:pPr>
      <w:r>
        <w:rPr/>
        <w:t>Plaintiff seeks back pay and front pay, mental anguish, compensatory and punitive damages and costs and fees</w:t>
      </w:r>
    </w:p>
    <w:p>
      <w:pPr>
        <w:pStyle w:val="BodyText"/>
        <w:numPr>
          <w:ilvl w:val="0"/>
          <w:numId w:val="4"/>
        </w:numPr>
        <w:tabs>
          <w:tab w:val="clear" w:pos="9360"/>
          <w:tab w:val="left" w:pos="360" w:leader="none"/>
        </w:tabs>
        <w:ind w:hanging="360" w:start="360" w:end="0"/>
        <w:rPr>
          <w:i/>
          <w:i/>
          <w:iCs/>
        </w:rPr>
      </w:pPr>
      <w:r>
        <w:rPr/>
        <w:t>Answer filed</w:t>
      </w:r>
      <w:r>
        <w:rPr>
          <w:b/>
          <w:bCs/>
        </w:rPr>
        <w:t xml:space="preserve"> </w:t>
      </w:r>
      <w:r>
        <w:rPr/>
        <w:t>February 15, 2001</w:t>
      </w:r>
    </w:p>
    <w:p>
      <w:pPr>
        <w:pStyle w:val="BodyText"/>
        <w:numPr>
          <w:ilvl w:val="0"/>
          <w:numId w:val="4"/>
        </w:numPr>
        <w:tabs>
          <w:tab w:val="clear" w:pos="9360"/>
          <w:tab w:val="left" w:pos="360" w:leader="none"/>
        </w:tabs>
        <w:ind w:hanging="360" w:start="360" w:end="0"/>
        <w:rPr>
          <w:i/>
          <w:i/>
          <w:iCs/>
        </w:rPr>
      </w:pPr>
      <w:r>
        <w:rPr/>
        <w:t>Initial discovery initiated</w:t>
      </w:r>
    </w:p>
    <w:p>
      <w:pPr>
        <w:pStyle w:val="BodyText"/>
        <w:tabs>
          <w:tab w:val="clear" w:pos="9360"/>
          <w:tab w:val="left" w:pos="360" w:leader="none"/>
        </w:tabs>
        <w:rPr>
          <w:i/>
          <w:i/>
          <w:iCs/>
        </w:rPr>
      </w:pPr>
      <w:r>
        <w:rPr>
          <w:i/>
          <w:iCs/>
        </w:rPr>
      </w:r>
    </w:p>
    <w:p>
      <w:pPr>
        <w:pStyle w:val="BodyText"/>
        <w:rPr>
          <w:b/>
          <w:bCs/>
          <w:i/>
          <w:i/>
          <w:iCs/>
        </w:rPr>
      </w:pPr>
      <w:r>
        <w:rPr>
          <w:b/>
          <w:bCs/>
          <w:i/>
          <w:iCs/>
        </w:rPr>
        <w:tab/>
        <w:t>[NO UPDATE]</w:t>
      </w:r>
    </w:p>
    <w:p>
      <w:pPr>
        <w:pStyle w:val="BodyText"/>
        <w:rPr>
          <w:b/>
          <w:bCs/>
          <w:i/>
          <w:i/>
          <w:iCs/>
        </w:rPr>
      </w:pPr>
      <w:r>
        <w:rPr>
          <w:b/>
          <w:bCs/>
          <w:i/>
          <w:iCs/>
        </w:rPr>
        <w:t>Commonwealth Edison Co. v. Kinder Morgan G.P., Inc., f/k/a Enron Liquids Pipeline Company, L.P. and Hydrocarbon Transportation, Inc., et al.</w:t>
      </w:r>
    </w:p>
    <w:p>
      <w:pPr>
        <w:pStyle w:val="BodyText"/>
        <w:tabs>
          <w:tab w:val="clear" w:pos="9360"/>
        </w:tabs>
        <w:rPr/>
      </w:pPr>
      <w:r>
        <w:rPr/>
        <w:t>(Chicago, Illinois—state court) (Vote) (Mark Brand, Quarles &amp; Brady, LLC—local counsel)</w:t>
      </w:r>
    </w:p>
    <w:p>
      <w:pPr>
        <w:pStyle w:val="BodyText"/>
        <w:numPr>
          <w:ilvl w:val="0"/>
          <w:numId w:val="14"/>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4"/>
        </w:numPr>
        <w:tabs>
          <w:tab w:val="clear" w:pos="9360"/>
        </w:tabs>
        <w:ind w:hanging="360" w:start="360" w:end="0"/>
        <w:rPr/>
      </w:pPr>
      <w:r>
        <w:rPr/>
        <w:t>Plaintiff seeks nearly $400,000, plus fees and costs</w:t>
      </w:r>
    </w:p>
    <w:p>
      <w:pPr>
        <w:pStyle w:val="BodyText"/>
        <w:numPr>
          <w:ilvl w:val="0"/>
          <w:numId w:val="14"/>
        </w:numPr>
        <w:tabs>
          <w:tab w:val="clear" w:pos="9360"/>
        </w:tabs>
        <w:ind w:hanging="360" w:start="360" w:end="0"/>
        <w:rPr/>
      </w:pPr>
      <w:r>
        <w:rPr/>
        <w:t>Answer filed August 30, 2000</w:t>
      </w:r>
    </w:p>
    <w:p>
      <w:pPr>
        <w:pStyle w:val="BodyText"/>
        <w:numPr>
          <w:ilvl w:val="0"/>
          <w:numId w:val="14"/>
        </w:numPr>
        <w:tabs>
          <w:tab w:val="clear" w:pos="9360"/>
        </w:tabs>
        <w:ind w:hanging="360" w:start="360" w:end="0"/>
        <w:rPr/>
      </w:pPr>
      <w:r>
        <w:rPr/>
        <w:t>Demand for indemnity on Kinder Morgan made November 29, 2000; Kinder Morgan to indemnify and defend subject to a reservation of rights</w:t>
      </w:r>
    </w:p>
    <w:p>
      <w:pPr>
        <w:pStyle w:val="BodyText"/>
        <w:numPr>
          <w:ilvl w:val="0"/>
          <w:numId w:val="14"/>
        </w:numPr>
        <w:tabs>
          <w:tab w:val="clear" w:pos="9360"/>
        </w:tabs>
        <w:ind w:hanging="360" w:start="360" w:end="0"/>
        <w:rPr/>
      </w:pPr>
      <w:r>
        <w:rPr/>
        <w:t>Amended complaint filed January 31, 2001; Kinder Morgan answered amended complaint March 15, 2001; Enron’s answer extended indefinitely</w:t>
      </w:r>
    </w:p>
    <w:p>
      <w:pPr>
        <w:pStyle w:val="BodyText"/>
        <w:numPr>
          <w:ilvl w:val="0"/>
          <w:numId w:val="14"/>
        </w:numPr>
        <w:tabs>
          <w:tab w:val="clear" w:pos="9360"/>
        </w:tabs>
        <w:ind w:hanging="360" w:start="360" w:end="0"/>
        <w:rPr/>
      </w:pPr>
      <w:r>
        <w:rPr/>
        <w:t>Status conference scheduled for May 22, 2001</w:t>
      </w:r>
    </w:p>
    <w:p>
      <w:pPr>
        <w:pStyle w:val="Normal"/>
        <w:jc w:val="both"/>
        <w:rPr>
          <w:spacing w:val="-3"/>
        </w:rPr>
      </w:pPr>
      <w:r>
        <w:rPr>
          <w:spacing w:val="-3"/>
        </w:rPr>
      </w:r>
    </w:p>
    <w:p>
      <w:pPr>
        <w:pStyle w:val="BodyText"/>
        <w:rPr>
          <w:b/>
          <w:bCs/>
          <w:i/>
          <w:i/>
          <w:iCs/>
        </w:rPr>
      </w:pPr>
      <w:r>
        <w:rPr>
          <w:b/>
          <w:bCs/>
          <w:i/>
          <w:iCs/>
        </w:rPr>
        <w:t>Enron Corp. v. Keum Duk Yom</w:t>
        <w:tab/>
        <w:t>[NO UPDATE]</w:t>
      </w:r>
    </w:p>
    <w:p>
      <w:pPr>
        <w:pStyle w:val="BodyText"/>
        <w:tabs>
          <w:tab w:val="clear" w:pos="9360"/>
        </w:tabs>
        <w:rPr/>
      </w:pPr>
      <w:r>
        <w:rPr/>
        <w:t>(not yet filed) (Davis) (Scott Brown, Vinson &amp; Elkins—outside counsel)</w:t>
      </w:r>
    </w:p>
    <w:p>
      <w:pPr>
        <w:pStyle w:val="BodyText"/>
        <w:numPr>
          <w:ilvl w:val="0"/>
          <w:numId w:val="14"/>
        </w:numPr>
        <w:tabs>
          <w:tab w:val="clear" w:pos="9360"/>
        </w:tabs>
        <w:ind w:hanging="360" w:start="360" w:end="0"/>
        <w:rPr/>
      </w:pPr>
      <w:r>
        <w:rPr/>
        <w:t>On December 21, 2000, Enron Corp. sent cease and desist letter to Keum Duk Yom regarding his registration of the domain JAPANENRON.COM</w:t>
      </w:r>
    </w:p>
    <w:p>
      <w:pPr>
        <w:pStyle w:val="BodyText"/>
        <w:numPr>
          <w:ilvl w:val="0"/>
          <w:numId w:val="14"/>
        </w:numPr>
        <w:tabs>
          <w:tab w:val="clear" w:pos="9360"/>
        </w:tabs>
        <w:ind w:hanging="360" w:start="360" w:end="0"/>
        <w:rPr/>
      </w:pPr>
      <w:r>
        <w:rPr/>
        <w:t>On January 23, 2001, Keum Duk Yom responded; await translation</w:t>
      </w:r>
    </w:p>
    <w:p>
      <w:pPr>
        <w:pStyle w:val="Normal"/>
        <w:jc w:val="both"/>
        <w:rPr>
          <w:spacing w:val="-3"/>
        </w:rPr>
      </w:pPr>
      <w:r>
        <w:rPr>
          <w:spacing w:val="-3"/>
        </w:rPr>
      </w:r>
    </w:p>
    <w:p>
      <w:pPr>
        <w:pStyle w:val="BodyText"/>
        <w:rPr>
          <w:b/>
          <w:bCs/>
          <w:i/>
          <w:i/>
          <w:iCs/>
        </w:rPr>
      </w:pPr>
      <w:r>
        <w:rPr>
          <w:b/>
          <w:bCs/>
          <w:i/>
          <w:iCs/>
        </w:rPr>
        <w:t>Enron Corp. v. Merrikh</w:t>
        <w:tab/>
        <w:t>[NO UPDATE]</w:t>
      </w:r>
    </w:p>
    <w:p>
      <w:pPr>
        <w:pStyle w:val="BodyText"/>
        <w:tabs>
          <w:tab w:val="clear" w:pos="9360"/>
        </w:tabs>
        <w:rPr/>
      </w:pPr>
      <w:r>
        <w:rPr/>
        <w:t>(ICAAN arbitration) (Davis) (Scott Brown, Vinson &amp; Elkins—outside counsel)</w:t>
      </w:r>
    </w:p>
    <w:p>
      <w:pPr>
        <w:pStyle w:val="BodyText"/>
        <w:numPr>
          <w:ilvl w:val="0"/>
          <w:numId w:val="14"/>
        </w:numPr>
        <w:tabs>
          <w:tab w:val="clear" w:pos="9360"/>
        </w:tabs>
        <w:ind w:hanging="360" w:start="360" w:end="0"/>
        <w:rPr/>
      </w:pPr>
      <w:r>
        <w:rPr/>
        <w:t>On December 15, 2000, Enron Corp. filed a complaint in arbitration per the ICAAN rules against cyber squatter Kirk Merrikh, who resides in Houston, Texas</w:t>
      </w:r>
    </w:p>
    <w:p>
      <w:pPr>
        <w:pStyle w:val="BodyText"/>
        <w:numPr>
          <w:ilvl w:val="0"/>
          <w:numId w:val="14"/>
        </w:numPr>
        <w:tabs>
          <w:tab w:val="clear" w:pos="9360"/>
        </w:tabs>
        <w:ind w:hanging="360" w:start="360" w:end="0"/>
        <w:rPr/>
      </w:pPr>
      <w:r>
        <w:rPr/>
        <w:t>Enron asks that Merrikh’s domain name, ENRONONLINE.TV, be transferred to Enron</w:t>
      </w:r>
    </w:p>
    <w:p>
      <w:pPr>
        <w:pStyle w:val="BodyText"/>
        <w:numPr>
          <w:ilvl w:val="0"/>
          <w:numId w:val="14"/>
        </w:numPr>
        <w:tabs>
          <w:tab w:val="clear" w:pos="9360"/>
        </w:tabs>
        <w:ind w:hanging="360" w:start="360" w:end="0"/>
        <w:rPr/>
      </w:pPr>
      <w:r>
        <w:rPr/>
        <w:t>On January 3, 2001, Merrikh filed a response</w:t>
      </w:r>
    </w:p>
    <w:p>
      <w:pPr>
        <w:pStyle w:val="BodyText"/>
        <w:numPr>
          <w:ilvl w:val="0"/>
          <w:numId w:val="14"/>
        </w:numPr>
        <w:tabs>
          <w:tab w:val="clear" w:pos="9360"/>
        </w:tabs>
        <w:ind w:hanging="360" w:start="360" w:end="0"/>
        <w:rPr/>
      </w:pPr>
      <w:r>
        <w:rPr/>
        <w:t>On January 10, 2001, the ICAAN arbitrator ruled that the domain name must be transferred; no contravention by Merrikh as of January 20, 2001, so the website should be transferred to Enron; await confirmation</w:t>
      </w:r>
    </w:p>
    <w:p>
      <w:pPr>
        <w:pStyle w:val="Normal"/>
        <w:jc w:val="both"/>
        <w:rPr>
          <w:spacing w:val="-3"/>
        </w:rPr>
      </w:pPr>
      <w:r>
        <w:rPr>
          <w:spacing w:val="-3"/>
        </w:rPr>
      </w:r>
    </w:p>
    <w:p>
      <w:pPr>
        <w:pStyle w:val="Normal"/>
        <w:jc w:val="both"/>
        <w:rPr>
          <w:spacing w:val="-3"/>
        </w:rPr>
      </w:pPr>
      <w:r>
        <w:rPr>
          <w:spacing w:val="-3"/>
        </w:rPr>
      </w:r>
    </w:p>
    <w:p>
      <w:pPr>
        <w:pStyle w:val="BodyText"/>
        <w:rPr>
          <w:b/>
          <w:bCs/>
          <w:i/>
          <w:i/>
          <w:iCs/>
        </w:rPr>
      </w:pPr>
      <w:r>
        <w:rPr>
          <w:b/>
          <w:bCs/>
          <w:i/>
          <w:iCs/>
        </w:rPr>
        <w:t>ExxonMobil Corporation v. Enron Gas Processing Co., et al.</w:t>
        <w:tab/>
        <w:t>[UPDATED]</w:t>
      </w:r>
    </w:p>
    <w:p>
      <w:pPr>
        <w:pStyle w:val="BodyText"/>
        <w:tabs>
          <w:tab w:val="clear" w:pos="9360"/>
        </w:tabs>
        <w:rPr/>
      </w:pPr>
      <w:r>
        <w:rPr/>
        <w:t>(Harris County—state court) (Vote/Davis) (Grant Harvey, Gibbs &amp; Bruns—outside counsel)</w:t>
      </w:r>
    </w:p>
    <w:p>
      <w:pPr>
        <w:pStyle w:val="BodyText"/>
        <w:numPr>
          <w:ilvl w:val="0"/>
          <w:numId w:val="14"/>
        </w:numPr>
        <w:tabs>
          <w:tab w:val="clear" w:pos="9360"/>
        </w:tabs>
        <w:ind w:hanging="360" w:start="360" w:end="0"/>
        <w:rPr/>
      </w:pPr>
      <w:r>
        <w:rPr>
          <w:color w:val="000000"/>
        </w:rPr>
        <w:t>ExxonMobil alleges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4"/>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 answer filed March 15, 2001</w:t>
      </w:r>
    </w:p>
    <w:p>
      <w:pPr>
        <w:pStyle w:val="BodyText"/>
        <w:numPr>
          <w:ilvl w:val="0"/>
          <w:numId w:val="14"/>
        </w:numPr>
        <w:tabs>
          <w:tab w:val="clear" w:pos="9360"/>
          <w:tab w:val="left" w:pos="360" w:leader="none"/>
        </w:tabs>
        <w:ind w:hanging="360" w:start="360" w:end="0"/>
        <w:rPr/>
      </w:pPr>
      <w:r>
        <w:rPr>
          <w:b/>
          <w:bCs/>
        </w:rPr>
        <w:t>ExxonMobil to dismiss all claims against Enron entities except helium claim against Enron Corp. (valued at less than $100,000)</w:t>
      </w:r>
    </w:p>
    <w:p>
      <w:pPr>
        <w:pStyle w:val="BodyText"/>
        <w:numPr>
          <w:ilvl w:val="0"/>
          <w:numId w:val="14"/>
        </w:numPr>
        <w:tabs>
          <w:tab w:val="clear" w:pos="9360"/>
          <w:tab w:val="left" w:pos="360" w:leader="none"/>
        </w:tabs>
        <w:ind w:hanging="360" w:start="360" w:end="0"/>
        <w:rPr/>
      </w:pPr>
      <w:r>
        <w:rPr/>
        <w:t>Trial scheduled for week of June 25, 2001</w:t>
      </w:r>
    </w:p>
    <w:p>
      <w:pPr>
        <w:pStyle w:val="BodyText"/>
        <w:tabs>
          <w:tab w:val="clear" w:pos="9360"/>
        </w:tabs>
        <w:rPr/>
      </w:pPr>
      <w:r>
        <w:rPr/>
      </w:r>
    </w:p>
    <w:p>
      <w:pPr>
        <w:pStyle w:val="Heading6"/>
        <w:tabs>
          <w:tab w:val="clear" w:pos="2160"/>
          <w:tab w:val="clear" w:pos="6480"/>
        </w:tabs>
        <w:ind w:hanging="0" w:start="0"/>
        <w:rPr/>
      </w:pPr>
      <w:r>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5"/>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BodyText"/>
        <w:numPr>
          <w:ilvl w:val="0"/>
          <w:numId w:val="9"/>
        </w:numPr>
        <w:tabs>
          <w:tab w:val="clear" w:pos="9360"/>
        </w:tabs>
        <w:rPr/>
      </w:pPr>
      <w:r>
        <w:rPr/>
        <w:t>Suit filed September 14, 1999, but Notice of Dismissal filed by UM&amp;E on February 28, 2000, reserving right to refile if settlement not reached; settlement proposals exchanged</w:t>
      </w:r>
    </w:p>
    <w:p>
      <w:pPr>
        <w:pStyle w:val="BodyText"/>
        <w:numPr>
          <w:ilvl w:val="0"/>
          <w:numId w:val="9"/>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tabs>
          <w:tab w:val="clear" w:pos="9360"/>
        </w:tabs>
        <w:rPr/>
      </w:pPr>
      <w:r>
        <w:rPr/>
      </w:r>
    </w:p>
    <w:p>
      <w:pPr>
        <w:pStyle w:val="BodyText"/>
        <w:tabs>
          <w:tab w:val="clear" w:pos="9360"/>
        </w:tabs>
        <w:jc w:val="center"/>
        <w:rPr>
          <w:b/>
          <w:bCs/>
          <w:u w:val="single"/>
        </w:rPr>
      </w:pPr>
      <w:r>
        <w:rPr>
          <w:b/>
          <w:bCs/>
          <w:u w:val="single"/>
        </w:rPr>
        <w:t>ENRON BROADBAND</w:t>
      </w:r>
    </w:p>
    <w:p>
      <w:pPr>
        <w:pStyle w:val="BodyText"/>
        <w:tabs>
          <w:tab w:val="clear" w:pos="9360"/>
        </w:tabs>
        <w:rPr>
          <w:b/>
          <w:bCs/>
          <w:u w:val="single"/>
        </w:rPr>
      </w:pPr>
      <w:r>
        <w:rPr>
          <w:b/>
          <w:bCs/>
          <w:u w:val="single"/>
        </w:rPr>
      </w:r>
    </w:p>
    <w:p>
      <w:pPr>
        <w:pStyle w:val="BodyText"/>
        <w:rPr>
          <w:b/>
          <w:bCs/>
          <w:i/>
          <w:i/>
          <w:iCs/>
        </w:rPr>
      </w:pPr>
      <w:r>
        <w:rPr>
          <w:b/>
          <w:bCs/>
          <w:i/>
          <w:iCs/>
        </w:rPr>
        <w:t>Simmons v. Enron Corp.</w:t>
        <w:tab/>
        <w:t>[UPDATED]</w:t>
      </w:r>
    </w:p>
    <w:p>
      <w:pPr>
        <w:pStyle w:val="BodyText"/>
        <w:tabs>
          <w:tab w:val="clear" w:pos="9360"/>
        </w:tabs>
        <w:rPr/>
      </w:pPr>
      <w:r>
        <w:rPr>
          <w:b/>
          <w:bCs/>
        </w:rPr>
        <w:t>(Harris County—state court )</w:t>
      </w:r>
      <w:r>
        <w:rPr/>
        <w:t xml:space="preserve"> (Vote) (Doug Hamel, Vinson &amp; Elkins—outside counsel)</w:t>
      </w:r>
    </w:p>
    <w:p>
      <w:pPr>
        <w:pStyle w:val="BodyText"/>
        <w:numPr>
          <w:ilvl w:val="0"/>
          <w:numId w:val="14"/>
        </w:numPr>
        <w:tabs>
          <w:tab w:val="clear" w:pos="9360"/>
        </w:tabs>
        <w:ind w:hanging="360" w:start="360" w:end="0"/>
        <w:rPr/>
      </w:pPr>
      <w:r>
        <w:rPr/>
        <w:t>Alleged gender discrimination relating to demotion and termination of employment</w:t>
      </w:r>
    </w:p>
    <w:p>
      <w:pPr>
        <w:pStyle w:val="BodyText"/>
        <w:numPr>
          <w:ilvl w:val="0"/>
          <w:numId w:val="14"/>
        </w:numPr>
        <w:tabs>
          <w:tab w:val="clear" w:pos="9360"/>
        </w:tabs>
        <w:ind w:hanging="360" w:start="360" w:end="0"/>
        <w:rPr/>
      </w:pPr>
      <w:r>
        <w:rPr/>
        <w:t>Claimant seeks lost wages, bonuses and stock options</w:t>
      </w:r>
    </w:p>
    <w:p>
      <w:pPr>
        <w:pStyle w:val="BodyText"/>
        <w:numPr>
          <w:ilvl w:val="0"/>
          <w:numId w:val="14"/>
        </w:numPr>
        <w:tabs>
          <w:tab w:val="clear" w:pos="9360"/>
        </w:tabs>
        <w:ind w:hanging="360" w:start="360" w:end="0"/>
        <w:rPr/>
      </w:pPr>
      <w:r>
        <w:rPr>
          <w:b/>
          <w:bCs/>
        </w:rPr>
        <w:t>Answer due June 4, 2001</w:t>
      </w:r>
    </w:p>
    <w:p>
      <w:pPr>
        <w:pStyle w:val="BodyText"/>
        <w:tabs>
          <w:tab w:val="clear" w:pos="9360"/>
        </w:tabs>
        <w:rPr/>
      </w:pPr>
      <w:r>
        <w:rPr/>
      </w:r>
    </w:p>
    <w:p>
      <w:pPr>
        <w:pStyle w:val="Normal"/>
        <w:jc w:val="center"/>
        <w:rPr>
          <w:b/>
          <w:spacing w:val="-3"/>
        </w:rPr>
      </w:pPr>
      <w:r>
        <w:rPr>
          <w:b/>
          <w:spacing w:val="-3"/>
          <w:u w:val="single"/>
        </w:rPr>
        <w:t>ENRON WHOLESALE</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actual damages totaling $5,765,407.21, as well as unspecified,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Discovery ongoing</w:t>
      </w:r>
    </w:p>
    <w:p>
      <w:pPr>
        <w:pStyle w:val="Normal"/>
        <w:tabs>
          <w:tab w:val="clear" w:pos="720"/>
          <w:tab w:val="right" w:pos="9360" w:leader="none"/>
        </w:tabs>
        <w:jc w:val="both"/>
        <w:rPr>
          <w:b/>
          <w:i/>
          <w:i/>
          <w:iCs/>
          <w:spacing w:val="-3"/>
          <w:sz w:val="26"/>
        </w:rPr>
      </w:pPr>
      <w:r>
        <w:rPr>
          <w:bCs/>
          <w:spacing w:val="-3"/>
        </w:rPr>
        <w:tab/>
      </w:r>
    </w:p>
    <w:p>
      <w:pPr>
        <w:pStyle w:val="Normal"/>
        <w:tabs>
          <w:tab w:val="clear" w:pos="720"/>
          <w:tab w:val="right" w:pos="9360" w:leader="none"/>
        </w:tabs>
        <w:jc w:val="both"/>
        <w:rPr>
          <w:b/>
          <w:i/>
          <w:i/>
          <w:iCs/>
          <w:spacing w:val="-3"/>
          <w:sz w:val="26"/>
        </w:rPr>
      </w:pPr>
      <w:r>
        <w:rPr>
          <w:b/>
          <w:bCs/>
          <w:iCs/>
        </w:rPr>
        <w:t>In re Bahia Las Minas</w:t>
      </w:r>
      <w:r>
        <w:rPr>
          <w:iCs/>
        </w:rPr>
        <w:t xml:space="preserve"> (Panama)</w:t>
        <w:tab/>
      </w:r>
      <w:r>
        <w:rPr>
          <w:b/>
          <w:i/>
          <w:iCs/>
          <w:spacing w:val="-3"/>
        </w:rPr>
        <w:t>[NO UPDATE]</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Negotiating on behalf of BLM with it’s carrier’s subrogation counsel relative to various BLM property damage claims which have been paid by carrier</w:t>
      </w:r>
    </w:p>
    <w:p>
      <w:pPr>
        <w:pStyle w:val="Normal"/>
        <w:numPr>
          <w:ilvl w:val="0"/>
          <w:numId w:val="2"/>
        </w:numPr>
        <w:tabs>
          <w:tab w:val="clear" w:pos="720"/>
        </w:tabs>
        <w:ind w:hanging="360" w:start="360" w:end="0"/>
        <w:jc w:val="both"/>
        <w:rPr>
          <w:bCs/>
          <w:spacing w:val="-3"/>
        </w:rPr>
      </w:pPr>
      <w:r>
        <w:rPr>
          <w:bCs/>
          <w:spacing w:val="-3"/>
        </w:rPr>
        <w:t>Assisting in negotiation of insurance coverage for December 30, 2000 incident</w:t>
      </w:r>
    </w:p>
    <w:p>
      <w:pPr>
        <w:pStyle w:val="Normal"/>
        <w:numPr>
          <w:ilvl w:val="0"/>
          <w:numId w:val="2"/>
        </w:numPr>
        <w:tabs>
          <w:tab w:val="clear" w:pos="720"/>
        </w:tabs>
        <w:ind w:hanging="360" w:start="360" w:end="0"/>
        <w:jc w:val="both"/>
        <w:rPr>
          <w:bCs/>
          <w:spacing w:val="-3"/>
        </w:rPr>
      </w:pPr>
      <w:r>
        <w:rPr>
          <w:bCs/>
          <w:spacing w:val="-3"/>
        </w:rPr>
        <w:t>Assisting in drafting new</w:t>
      </w:r>
      <w:r>
        <w:rPr>
          <w:b/>
          <w:spacing w:val="-3"/>
        </w:rPr>
        <w:t xml:space="preserve"> </w:t>
      </w:r>
      <w:r>
        <w:rPr>
          <w:bCs/>
          <w:spacing w:val="-3"/>
        </w:rPr>
        <w:t>insurance policy with underwriters</w:t>
      </w:r>
    </w:p>
    <w:p>
      <w:pPr>
        <w:pStyle w:val="Normal"/>
        <w:jc w:val="both"/>
        <w:rPr>
          <w:bCs/>
          <w:spacing w:val="-3"/>
        </w:rPr>
      </w:pPr>
      <w:r>
        <w:rPr>
          <w:bCs/>
          <w:spacing w:val="-3"/>
        </w:rPr>
      </w:r>
      <w:r>
        <w:br w:type="page"/>
      </w:r>
    </w:p>
    <w:p>
      <w:pPr>
        <w:pStyle w:val="Normal"/>
        <w:jc w:val="both"/>
        <w:rPr>
          <w:bCs/>
          <w:spacing w:val="-3"/>
        </w:rPr>
      </w:pPr>
      <w:r>
        <w:rPr>
          <w:bCs/>
          <w:spacing w:val="-3"/>
        </w:rPr>
      </w:r>
    </w:p>
    <w:p>
      <w:pPr>
        <w:pStyle w:val="Heading8"/>
        <w:ind w:hanging="0" w:start="0"/>
        <w:rPr>
          <w:b/>
          <w:bCs w:val="false"/>
          <w:shadow w:val="false"/>
        </w:rPr>
      </w:pPr>
      <w:r>
        <w:rPr>
          <w:b/>
          <w:bCs w:val="false"/>
          <w:shadow w:val="false"/>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8"/>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8"/>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8"/>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8"/>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8"/>
        </w:numPr>
        <w:tabs>
          <w:tab w:val="clear" w:pos="720"/>
          <w:tab w:val="right" w:pos="9360" w:leader="none"/>
        </w:tabs>
        <w:jc w:val="both"/>
        <w:rPr>
          <w:spacing w:val="-3"/>
        </w:rPr>
      </w:pPr>
      <w:r>
        <w:rPr>
          <w:spacing w:val="-3"/>
        </w:rPr>
        <w:t>DPLP filed notice of appeal</w:t>
      </w:r>
    </w:p>
    <w:p>
      <w:pPr>
        <w:pStyle w:val="Normal"/>
        <w:numPr>
          <w:ilvl w:val="0"/>
          <w:numId w:val="18"/>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8"/>
        </w:numPr>
        <w:tabs>
          <w:tab w:val="clear" w:pos="720"/>
          <w:tab w:val="right" w:pos="9360" w:leader="none"/>
        </w:tabs>
        <w:jc w:val="both"/>
        <w:rPr>
          <w:spacing w:val="-3"/>
        </w:rPr>
      </w:pPr>
      <w:r>
        <w:rPr>
          <w:spacing w:val="-3"/>
        </w:rPr>
        <w:t>Court of Appeals, Waco, affirmed trial court judgment on August 31, 1999</w:t>
      </w:r>
    </w:p>
    <w:p>
      <w:pPr>
        <w:pStyle w:val="Normal"/>
        <w:numPr>
          <w:ilvl w:val="0"/>
          <w:numId w:val="18"/>
        </w:numPr>
        <w:tabs>
          <w:tab w:val="clear" w:pos="720"/>
          <w:tab w:val="right" w:pos="9360" w:leader="none"/>
        </w:tabs>
        <w:jc w:val="both"/>
        <w:rPr>
          <w:spacing w:val="-3"/>
        </w:rPr>
      </w:pPr>
      <w:r>
        <w:rPr>
          <w:spacing w:val="-3"/>
        </w:rPr>
        <w:t>Petition for review to Texas Supreme Court denied August 24, 2000; motion for rehearing denied October 26, 2000</w:t>
      </w:r>
    </w:p>
    <w:p>
      <w:pPr>
        <w:pStyle w:val="Normal"/>
        <w:numPr>
          <w:ilvl w:val="0"/>
          <w:numId w:val="18"/>
        </w:numPr>
        <w:tabs>
          <w:tab w:val="clear" w:pos="720"/>
          <w:tab w:val="right" w:pos="9360" w:leader="none"/>
        </w:tabs>
        <w:jc w:val="both"/>
        <w:rPr>
          <w:spacing w:val="-3"/>
        </w:rPr>
      </w:pPr>
      <w:r>
        <w:rPr>
          <w:spacing w:val="-3"/>
        </w:rPr>
        <w:t xml:space="preserve">Work ongoing with NGC to divide escrow account regarding tax liabilities created at close of DPLP purchase </w:t>
      </w:r>
    </w:p>
    <w:p>
      <w:pPr>
        <w:pStyle w:val="Normal"/>
        <w:numPr>
          <w:ilvl w:val="0"/>
          <w:numId w:val="18"/>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Heading8"/>
        <w:ind w:hanging="0" w:start="0"/>
        <w:rPr>
          <w:b/>
          <w:bCs w:val="false"/>
          <w:shadow w:val="false"/>
        </w:rPr>
      </w:pPr>
      <w:r>
        <w:rPr>
          <w:b/>
          <w:bCs w:val="false"/>
          <w:shadow w:val="false"/>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8"/>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8"/>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8"/>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EcoElectrica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Negotiation of various property damage claims noticed to EcoElectrica’s insurance carrier</w:t>
      </w:r>
    </w:p>
    <w:p>
      <w:pPr>
        <w:pStyle w:val="Normal"/>
        <w:jc w:val="both"/>
        <w:rPr>
          <w:bCs/>
          <w:spacing w:val="-3"/>
        </w:rPr>
      </w:pPr>
      <w:r>
        <w:rPr>
          <w:bCs/>
          <w:spacing w:val="-3"/>
        </w:rPr>
      </w:r>
    </w:p>
    <w:p>
      <w:pPr>
        <w:pStyle w:val="Normal"/>
        <w:tabs>
          <w:tab w:val="clear" w:pos="720"/>
          <w:tab w:val="right" w:pos="9360" w:leader="none"/>
        </w:tabs>
        <w:jc w:val="both"/>
        <w:rPr>
          <w:bCs/>
          <w:spacing w:val="-3"/>
        </w:rPr>
      </w:pPr>
      <w:r>
        <w:rPr>
          <w:bCs/>
          <w:spacing w:val="-3"/>
        </w:rPr>
      </w:r>
    </w:p>
    <w:p>
      <w:pPr>
        <w:pStyle w:val="Heading7"/>
        <w:suppressAutoHyphens w:val="true"/>
        <w:ind w:hanging="0" w:start="0"/>
        <w:rPr>
          <w:spacing w:val="0"/>
        </w:rPr>
      </w:pPr>
      <w:r>
        <w:rPr>
          <w:spacing w:val="0"/>
        </w:rPr>
        <w:t>In re Empresa Energetica Corinto, Ltd. (Nicaragua)</w:t>
        <w:tab/>
        <w:t>[NO UPDATE]</w:t>
      </w:r>
    </w:p>
    <w:p>
      <w:pPr>
        <w:pStyle w:val="toaheading"/>
        <w:spacing w:before="0" w:after="0"/>
        <w:rPr>
          <w:b w:val="false"/>
          <w:bCs/>
          <w:caps w:val="false"/>
          <w:smallCaps w:val="false"/>
        </w:rPr>
      </w:pPr>
      <w:r>
        <w:rPr>
          <w:b w:val="false"/>
          <w:bCs/>
          <w:caps w:val="false"/>
          <w:smallCaps w:val="false"/>
        </w:rPr>
        <w:t>(not yet filed) (Kisluk)</w:t>
      </w:r>
    </w:p>
    <w:p>
      <w:pPr>
        <w:pStyle w:val="Normal"/>
        <w:numPr>
          <w:ilvl w:val="0"/>
          <w:numId w:val="7"/>
        </w:numPr>
        <w:tabs>
          <w:tab w:val="clear" w:pos="720"/>
        </w:tabs>
        <w:ind w:hanging="360" w:start="360" w:end="0"/>
        <w:rPr>
          <w:bCs/>
        </w:rPr>
      </w:pPr>
      <w:r>
        <w:rPr>
          <w:bCs/>
        </w:rPr>
        <w:t>Assisting in negotiation of property damage coverage for April 2-3, 2001 incident</w:t>
      </w:r>
    </w:p>
    <w:p>
      <w:pPr>
        <w:pStyle w:val="Normal"/>
        <w:tabs>
          <w:tab w:val="clear" w:pos="720"/>
          <w:tab w:val="right" w:pos="9360" w:leader="none"/>
        </w:tabs>
        <w:jc w:val="both"/>
        <w:rPr>
          <w:bCs/>
          <w:spacing w:val="-3"/>
        </w:rPr>
      </w:pPr>
      <w:r>
        <w:rPr>
          <w:bCs/>
          <w:spacing w:val="-3"/>
        </w:rPr>
      </w:r>
      <w:r>
        <w:br w:type="page"/>
      </w:r>
    </w:p>
    <w:p>
      <w:pPr>
        <w:pStyle w:val="Normal"/>
        <w:tabs>
          <w:tab w:val="clear" w:pos="720"/>
          <w:tab w:val="right" w:pos="9360" w:leader="none"/>
        </w:tabs>
        <w:jc w:val="both"/>
        <w:rPr>
          <w:spacing w:val="-3"/>
        </w:rPr>
      </w:pPr>
      <w:r>
        <w:rPr>
          <w:spacing w:val="-3"/>
        </w:rPr>
      </w:r>
    </w:p>
    <w:p>
      <w:pPr>
        <w:pStyle w:val="Heading7"/>
        <w:suppressAutoHyphens w:val="true"/>
        <w:ind w:hanging="0" w:start="0"/>
        <w:rPr>
          <w:spacing w:val="0"/>
        </w:rPr>
      </w:pPr>
      <w:r>
        <w:rPr>
          <w:spacing w:val="0"/>
        </w:rPr>
        <w:t>In re George Frumkin Discrimination Claim</w:t>
        <w:tab/>
        <w:t>[NO UPDATE]</w:t>
      </w:r>
    </w:p>
    <w:p>
      <w:pPr>
        <w:pStyle w:val="toaheading"/>
        <w:spacing w:before="0" w:after="0"/>
        <w:rPr>
          <w:b w:val="false"/>
          <w:caps w:val="false"/>
          <w:smallCaps w:val="false"/>
        </w:rPr>
      </w:pPr>
      <w:r>
        <w:rPr>
          <w:b w:val="false"/>
          <w:caps w:val="false"/>
          <w:smallCaps w:val="false"/>
        </w:rPr>
        <w:t>(not yet filed) (Vote)</w:t>
      </w:r>
    </w:p>
    <w:p>
      <w:pPr>
        <w:pStyle w:val="Normal"/>
        <w:numPr>
          <w:ilvl w:val="0"/>
          <w:numId w:val="7"/>
        </w:numPr>
        <w:tabs>
          <w:tab w:val="clear" w:pos="720"/>
        </w:tabs>
        <w:ind w:hanging="360" w:start="360" w:end="0"/>
        <w:rPr/>
      </w:pPr>
      <w:r>
        <w:rPr/>
        <w:t xml:space="preserve">Alleged wrongful discharge in violation of the </w:t>
      </w:r>
      <w:r>
        <w:rPr>
          <w:i/>
          <w:iCs/>
        </w:rPr>
        <w:t>Sabine Pilot</w:t>
      </w:r>
      <w:r>
        <w:rPr/>
        <w:t xml:space="preserve"> exception to the employment at will doctrine</w:t>
      </w:r>
    </w:p>
    <w:p>
      <w:pPr>
        <w:pStyle w:val="Normal"/>
        <w:numPr>
          <w:ilvl w:val="0"/>
          <w:numId w:val="7"/>
        </w:numPr>
        <w:tabs>
          <w:tab w:val="clear" w:pos="720"/>
        </w:tabs>
        <w:ind w:hanging="360" w:start="360" w:end="0"/>
        <w:rPr/>
      </w:pPr>
      <w:r>
        <w:rPr/>
        <w:t>Claimant seeks actual and punitive damages</w:t>
      </w:r>
    </w:p>
    <w:p>
      <w:pPr>
        <w:pStyle w:val="Normal"/>
        <w:numPr>
          <w:ilvl w:val="0"/>
          <w:numId w:val="7"/>
        </w:numPr>
        <w:tabs>
          <w:tab w:val="clear" w:pos="720"/>
        </w:tabs>
        <w:ind w:hanging="360" w:start="360" w:end="0"/>
        <w:rPr/>
      </w:pPr>
      <w:r>
        <w:rPr/>
        <w:t>Investigation in anticipation of litigation initiated</w:t>
      </w:r>
    </w:p>
    <w:p>
      <w:pPr>
        <w:pStyle w:val="Normal"/>
        <w:tabs>
          <w:tab w:val="clear" w:pos="720"/>
          <w:tab w:val="right" w:pos="9360" w:leader="none"/>
        </w:tabs>
        <w:jc w:val="both"/>
        <w:rPr>
          <w:b/>
          <w:spacing w:val="-3"/>
        </w:rPr>
      </w:pPr>
      <w:r>
        <w:rPr>
          <w:b/>
          <w:spacing w:val="-3"/>
        </w:rPr>
      </w:r>
    </w:p>
    <w:p>
      <w:pPr>
        <w:pStyle w:val="Normal"/>
        <w:jc w:val="both"/>
        <w:rPr>
          <w:b/>
          <w:spacing w:val="-3"/>
        </w:rPr>
      </w:pPr>
      <w:r>
        <w:rPr>
          <w:b/>
          <w:spacing w:val="-3"/>
        </w:rPr>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8"/>
        </w:numPr>
        <w:tabs>
          <w:tab w:val="clear" w:pos="720"/>
          <w:tab w:val="right" w:pos="9360" w:leader="none"/>
        </w:tabs>
        <w:jc w:val="both"/>
        <w:rPr>
          <w:spacing w:val="-3"/>
        </w:rPr>
      </w:pPr>
      <w:r>
        <w:rPr>
          <w:spacing w:val="-3"/>
        </w:rPr>
        <w:t>Alleged breach by EGLE of oral brokers’ agreement with Interfert for fertilizer trades in France; alleged tortious interference by EGLI with same contract</w:t>
      </w:r>
    </w:p>
    <w:p>
      <w:pPr>
        <w:pStyle w:val="Normal"/>
        <w:numPr>
          <w:ilvl w:val="0"/>
          <w:numId w:val="18"/>
        </w:numPr>
        <w:tabs>
          <w:tab w:val="clear" w:pos="720"/>
          <w:tab w:val="right" w:pos="9360" w:leader="none"/>
        </w:tabs>
        <w:jc w:val="both"/>
        <w:rPr>
          <w:spacing w:val="-3"/>
        </w:rPr>
      </w:pPr>
      <w:r>
        <w:rPr>
          <w:spacing w:val="-3"/>
        </w:rPr>
        <w:t>Interfert claims damages for loss of commissions, loss of clientele, wrongful termination of contract without notice, unfair competition and legal costs</w:t>
      </w:r>
    </w:p>
    <w:p>
      <w:pPr>
        <w:pStyle w:val="Normal"/>
        <w:numPr>
          <w:ilvl w:val="0"/>
          <w:numId w:val="18"/>
        </w:numPr>
        <w:tabs>
          <w:tab w:val="clear" w:pos="720"/>
          <w:tab w:val="right" w:pos="9360" w:leader="none"/>
        </w:tabs>
        <w:jc w:val="both"/>
        <w:rPr>
          <w:spacing w:val="-3"/>
        </w:rPr>
      </w:pPr>
      <w:r>
        <w:rPr>
          <w:spacing w:val="-3"/>
        </w:rPr>
        <w:t>Interfert’s alleged damages equal approximately $853,000, exclusive of prejudgment interest, which may add approximately $570,000</w:t>
      </w:r>
    </w:p>
    <w:p>
      <w:pPr>
        <w:pStyle w:val="Normal"/>
        <w:numPr>
          <w:ilvl w:val="0"/>
          <w:numId w:val="18"/>
        </w:numPr>
        <w:tabs>
          <w:tab w:val="clear" w:pos="720"/>
          <w:tab w:val="right" w:pos="9360" w:leader="none"/>
        </w:tabs>
        <w:jc w:val="both"/>
        <w:rPr>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8"/>
        </w:numPr>
        <w:tabs>
          <w:tab w:val="clear" w:pos="720"/>
          <w:tab w:val="right" w:pos="9360" w:leader="none"/>
        </w:tabs>
        <w:jc w:val="both"/>
        <w:rPr>
          <w:spacing w:val="-3"/>
        </w:rPr>
      </w:pPr>
      <w:r>
        <w:rPr>
          <w:spacing w:val="-3"/>
        </w:rPr>
        <w:t>EGLI and EGLE have appealed to Supreme Court of France; however, appeal does not stay preliminary award, which EGLE has timely paid</w:t>
      </w:r>
    </w:p>
    <w:p>
      <w:pPr>
        <w:pStyle w:val="Normal"/>
        <w:numPr>
          <w:ilvl w:val="0"/>
          <w:numId w:val="18"/>
        </w:numPr>
        <w:tabs>
          <w:tab w:val="clear" w:pos="720"/>
          <w:tab w:val="right" w:pos="9360" w:leader="none"/>
        </w:tabs>
        <w:jc w:val="both"/>
        <w:rPr>
          <w:spacing w:val="-3"/>
        </w:rPr>
      </w:pPr>
      <w:r>
        <w:rPr>
          <w:spacing w:val="-3"/>
        </w:rPr>
        <w:t>EGLI and EGLE have retained expert to liaise with court-appointed expert</w:t>
      </w:r>
    </w:p>
    <w:p>
      <w:pPr>
        <w:pStyle w:val="Normal"/>
        <w:numPr>
          <w:ilvl w:val="0"/>
          <w:numId w:val="18"/>
        </w:numPr>
        <w:tabs>
          <w:tab w:val="clear" w:pos="720"/>
          <w:tab w:val="right" w:pos="9360" w:leader="none"/>
        </w:tabs>
        <w:jc w:val="both"/>
        <w:rPr>
          <w:spacing w:val="-3"/>
        </w:rPr>
      </w:pPr>
      <w:r>
        <w:rPr>
          <w:spacing w:val="-3"/>
        </w:rPr>
        <w:t>On October 19, 2000, parties had final meeting with court-appointed expert, whose report is expected shortly</w:t>
      </w:r>
    </w:p>
    <w:p>
      <w:pPr>
        <w:pStyle w:val="Normal"/>
        <w:numPr>
          <w:ilvl w:val="0"/>
          <w:numId w:val="18"/>
        </w:numPr>
        <w:tabs>
          <w:tab w:val="clear" w:pos="720"/>
          <w:tab w:val="right" w:pos="9360" w:leader="none"/>
        </w:tabs>
        <w:jc w:val="both"/>
        <w:rPr>
          <w:spacing w:val="-3"/>
        </w:rPr>
      </w:pPr>
      <w:r>
        <w:rPr>
          <w:spacing w:val="-3"/>
        </w:rPr>
        <w:t>The court-appointed expert has issued his final report which states that in a worst-case scenario, ECT is liable for no more than an additional approximately $25,000 in unpaid commissions; the report is silent as to other possible damages the court may choose to assess in addition to this</w:t>
      </w:r>
    </w:p>
    <w:p>
      <w:pPr>
        <w:pStyle w:val="Normal"/>
        <w:tabs>
          <w:tab w:val="clear" w:pos="720"/>
          <w:tab w:val="right" w:pos="9360" w:leader="none"/>
        </w:tabs>
        <w:jc w:val="both"/>
        <w:rPr>
          <w:spacing w:val="-3"/>
        </w:rPr>
      </w:pPr>
      <w:r>
        <w:rPr>
          <w:spacing w:val="-3"/>
        </w:rPr>
      </w:r>
    </w:p>
    <w:p>
      <w:pPr>
        <w:pStyle w:val="Heading7"/>
        <w:ind w:hanging="0" w:start="0"/>
        <w:rPr>
          <w:bCs/>
        </w:rPr>
      </w:pPr>
      <w:r>
        <w:rPr>
          <w:bCs/>
        </w:rPr>
        <w:t>In re M/V OBOD</w:t>
        <w:tab/>
        <w:t>[NO UPDATE]</w:t>
      </w:r>
    </w:p>
    <w:p>
      <w:pPr>
        <w:pStyle w:val="Normal"/>
        <w:tabs>
          <w:tab w:val="clear" w:pos="720"/>
          <w:tab w:val="right" w:pos="9360" w:leader="none"/>
        </w:tabs>
        <w:jc w:val="both"/>
        <w:rPr>
          <w:spacing w:val="-3"/>
        </w:rPr>
      </w:pPr>
      <w:r>
        <w:rPr>
          <w:spacing w:val="-3"/>
        </w:rPr>
        <w:t>(not yet filed) (Davis) (Howard McCormack, Healey and Baillie, New York—outside counsel; Mark Desmarais, Goodsill, Anderson, Quinn &amp; Stifel, Honolulu—local counsel)</w:t>
      </w:r>
    </w:p>
    <w:p>
      <w:pPr>
        <w:pStyle w:val="Normal"/>
        <w:numPr>
          <w:ilvl w:val="0"/>
          <w:numId w:val="15"/>
        </w:numPr>
        <w:tabs>
          <w:tab w:val="clear" w:pos="720"/>
        </w:tabs>
        <w:ind w:hanging="360" w:start="360" w:end="0"/>
        <w:jc w:val="both"/>
        <w:rPr>
          <w:spacing w:val="-3"/>
        </w:rPr>
      </w:pPr>
      <w:r>
        <w:rPr>
          <w:spacing w:val="-3"/>
        </w:rPr>
        <w:t>Enron Metals purchased approximately 12,000 metric tons of lead and zinc at a cost of approximately $5,000,000; Enron Metals voyage-chartered the M/V OBOD from Panobulk/Pan Ocean to load the cargo in China and discharge it in Baltimore by about mid-October; the metal was for various forward contracts for which deliveries were to come due beginning in November 2000</w:t>
      </w:r>
    </w:p>
    <w:p>
      <w:pPr>
        <w:pStyle w:val="Normal"/>
        <w:numPr>
          <w:ilvl w:val="0"/>
          <w:numId w:val="15"/>
        </w:numPr>
        <w:tabs>
          <w:tab w:val="clear" w:pos="720"/>
        </w:tabs>
        <w:ind w:hanging="360" w:start="360" w:end="0"/>
        <w:jc w:val="both"/>
        <w:rPr>
          <w:spacing w:val="-3"/>
        </w:rPr>
      </w:pPr>
      <w:r>
        <w:rPr>
          <w:spacing w:val="-3"/>
        </w:rPr>
        <w:t>The M/V OBOD and Enron Metals’ cargo have been under arrest in the Port of Honolulu since approximately December 28, 2000; the current arrest was filed by Nordic Technical Development, Inc., the owner of a towing vessel that towed the ship into port in November after it sustained mechanical problems approximately halfway between Honolulu and the Panama Canal</w:t>
      </w:r>
    </w:p>
    <w:p>
      <w:pPr>
        <w:pStyle w:val="Normal"/>
        <w:numPr>
          <w:ilvl w:val="0"/>
          <w:numId w:val="15"/>
        </w:numPr>
        <w:tabs>
          <w:tab w:val="clear" w:pos="720"/>
        </w:tabs>
        <w:ind w:hanging="360" w:start="360" w:end="0"/>
        <w:jc w:val="both"/>
        <w:rPr>
          <w:spacing w:val="-3"/>
        </w:rPr>
      </w:pPr>
      <w:r>
        <w:rPr>
          <w:spacing w:val="-3"/>
        </w:rPr>
        <w:t>Nordic seeks approximately $360,000 in allegedly unpaid towing fees; Norton Lilly, the local agent, reports unpaid invoices to it and others, including the local shipyard, of about $143,000; approximately half the crew has reportedly filed a motion to asset claims for unpaid wages; Bureau Veritas, the classification society for the ship, will reportedly not approve the repairs until the ship has undergone sea trials; the head owner of the M/V OBOD has not posted any security to allow release of the vessel or her cargo and may not have the financial resources to do so</w:t>
      </w:r>
    </w:p>
    <w:p>
      <w:pPr>
        <w:pStyle w:val="Normal"/>
        <w:numPr>
          <w:ilvl w:val="0"/>
          <w:numId w:val="15"/>
        </w:numPr>
        <w:tabs>
          <w:tab w:val="clear" w:pos="720"/>
        </w:tabs>
        <w:ind w:hanging="360" w:start="360" w:end="0"/>
        <w:jc w:val="both"/>
        <w:rPr>
          <w:spacing w:val="-3"/>
        </w:rPr>
      </w:pPr>
      <w:r>
        <w:rPr>
          <w:spacing w:val="-3"/>
        </w:rPr>
        <w:t>Enron Metals has demanded that Nordic release Enron Metals’ cargo from arrest and that the charterers carry the cargo to Baltimore</w:t>
      </w:r>
    </w:p>
    <w:p>
      <w:pPr>
        <w:pStyle w:val="Normal"/>
        <w:numPr>
          <w:ilvl w:val="0"/>
          <w:numId w:val="15"/>
        </w:numPr>
        <w:tabs>
          <w:tab w:val="clear" w:pos="720"/>
        </w:tabs>
        <w:ind w:hanging="360" w:start="360" w:end="0"/>
        <w:jc w:val="both"/>
        <w:rPr>
          <w:spacing w:val="-3"/>
        </w:rPr>
      </w:pPr>
      <w:r>
        <w:rPr>
          <w:spacing w:val="-3"/>
        </w:rPr>
        <w:t>By order dated February 23, 2001, Enron Metals’ cargo was released</w:t>
      </w:r>
    </w:p>
    <w:p>
      <w:pPr>
        <w:pStyle w:val="Normal"/>
        <w:numPr>
          <w:ilvl w:val="0"/>
          <w:numId w:val="15"/>
        </w:numPr>
        <w:tabs>
          <w:tab w:val="clear" w:pos="720"/>
        </w:tabs>
        <w:ind w:hanging="360" w:start="360" w:end="0"/>
        <w:jc w:val="both"/>
        <w:rPr>
          <w:spacing w:val="-3"/>
        </w:rPr>
      </w:pPr>
      <w:r>
        <w:rPr>
          <w:spacing w:val="-3"/>
        </w:rPr>
        <w:t>On March 9, 2001, the court indicated that it was inclined to order the ship sold, but no order has been entered</w:t>
      </w:r>
    </w:p>
    <w:p>
      <w:pPr>
        <w:pStyle w:val="Normal"/>
        <w:numPr>
          <w:ilvl w:val="0"/>
          <w:numId w:val="15"/>
        </w:numPr>
        <w:tabs>
          <w:tab w:val="clear" w:pos="720"/>
        </w:tabs>
        <w:ind w:hanging="360" w:start="360" w:end="0"/>
        <w:jc w:val="both"/>
        <w:rPr>
          <w:spacing w:val="-3"/>
        </w:rPr>
      </w:pPr>
      <w:r>
        <w:rPr>
          <w:spacing w:val="-3"/>
        </w:rPr>
        <w:t xml:space="preserve">On March 23, 2001, the court </w:t>
      </w:r>
      <w:r>
        <w:rPr/>
        <w:t>heard</w:t>
      </w:r>
      <w:r>
        <w:rPr>
          <w:b/>
          <w:bCs/>
          <w:spacing w:val="-3"/>
        </w:rPr>
        <w:t xml:space="preserve"> </w:t>
      </w:r>
      <w:r>
        <w:rPr>
          <w:spacing w:val="-3"/>
        </w:rPr>
        <w:t>an expedited motion to sell the ship made by the crew who are asserting unpaid wage and personal injury claims</w:t>
      </w:r>
    </w:p>
    <w:p>
      <w:pPr>
        <w:pStyle w:val="Normal"/>
        <w:numPr>
          <w:ilvl w:val="0"/>
          <w:numId w:val="15"/>
        </w:numPr>
        <w:tabs>
          <w:tab w:val="clear" w:pos="720"/>
        </w:tabs>
        <w:ind w:hanging="360" w:start="360" w:end="0"/>
        <w:jc w:val="both"/>
        <w:rPr>
          <w:spacing w:val="-3"/>
        </w:rPr>
      </w:pPr>
      <w:r>
        <w:rPr>
          <w:spacing w:val="-3"/>
        </w:rPr>
        <w:t>On March 30, 2001, the court will hear positions from the parties as to the mechanics of the ship sale</w:t>
      </w:r>
    </w:p>
    <w:p>
      <w:pPr>
        <w:pStyle w:val="Normal"/>
        <w:tabs>
          <w:tab w:val="clear" w:pos="720"/>
          <w:tab w:val="right" w:pos="9360" w:leader="none"/>
        </w:tabs>
        <w:jc w:val="both"/>
        <w:rPr>
          <w:spacing w:val="-3"/>
        </w:rPr>
      </w:pPr>
      <w:r>
        <w:rPr>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5"/>
        </w:numPr>
        <w:tabs>
          <w:tab w:val="clear" w:pos="720"/>
        </w:tabs>
        <w:ind w:hanging="360" w:start="360" w:end="0"/>
        <w:jc w:val="both"/>
        <w:rPr>
          <w:spacing w:val="-3"/>
        </w:rPr>
      </w:pPr>
      <w:r>
        <w:rPr>
          <w:spacing w:val="-3"/>
        </w:rPr>
        <w:t>ECT Singapore purchased approximately 660,000 barrels of Elang Blend Crude Oil from Phillips for approximately $20,000,000</w:t>
      </w:r>
    </w:p>
    <w:p>
      <w:pPr>
        <w:pStyle w:val="Normal"/>
        <w:numPr>
          <w:ilvl w:val="0"/>
          <w:numId w:val="15"/>
        </w:numPr>
        <w:tabs>
          <w:tab w:val="clear" w:pos="720"/>
        </w:tabs>
        <w:ind w:hanging="360" w:start="360" w:end="0"/>
        <w:jc w:val="both"/>
        <w:rPr>
          <w:spacing w:val="-3"/>
        </w:rPr>
      </w:pPr>
      <w:r>
        <w:rPr>
          <w:spacing w:val="-3"/>
        </w:rPr>
        <w:t>ECT Singapore voyage-chartered the M/V PACIFIC VIRGO from Mitsubishi to load this product offshore Indonesia and carry it for discharge in Thailand and the Philippines; both discharges were for the account of FGH, the end user; the product was to be used as compressor fuel; the product was loaded June 20-21, 2000</w:t>
      </w:r>
    </w:p>
    <w:p>
      <w:pPr>
        <w:pStyle w:val="Normal"/>
        <w:numPr>
          <w:ilvl w:val="0"/>
          <w:numId w:val="15"/>
        </w:numPr>
        <w:tabs>
          <w:tab w:val="clear" w:pos="720"/>
        </w:tabs>
        <w:ind w:hanging="360" w:start="360" w:end="0"/>
        <w:jc w:val="both"/>
        <w:rPr>
          <w:spacing w:val="-3"/>
        </w:rPr>
      </w:pPr>
      <w:r>
        <w:rPr>
          <w:spacing w:val="-3"/>
        </w:rPr>
        <w:t>The product satisfied FGH’s contract specifications prior to loading, but was found off-spec after discharge on June 28-30, 2000, in Thailand and on July 4, 2000, when the ship arrived in the Philippines; FGH rejected the cargo</w:t>
      </w:r>
    </w:p>
    <w:p>
      <w:pPr>
        <w:pStyle w:val="Normal"/>
        <w:numPr>
          <w:ilvl w:val="0"/>
          <w:numId w:val="15"/>
        </w:numPr>
        <w:tabs>
          <w:tab w:val="clear" w:pos="720"/>
        </w:tabs>
        <w:ind w:hanging="360" w:start="360" w:end="0"/>
        <w:jc w:val="both"/>
        <w:rPr>
          <w:spacing w:val="-3"/>
        </w:rPr>
      </w:pPr>
      <w:r>
        <w:rPr>
          <w:spacing w:val="-3"/>
        </w:rPr>
        <w:t>ECT Singapore instructed the M/V PACIFIC VIRGO sail to Korea to discharge the remaining product to a Korean refinery that had agreed to purchase the off-spec cargo; another buyer was arranged for the off-spec cargo in Thailand as well</w:t>
      </w:r>
    </w:p>
    <w:p>
      <w:pPr>
        <w:pStyle w:val="Normal"/>
        <w:numPr>
          <w:ilvl w:val="0"/>
          <w:numId w:val="15"/>
        </w:numPr>
        <w:tabs>
          <w:tab w:val="clear" w:pos="720"/>
        </w:tabs>
        <w:ind w:hanging="360" w:start="360" w:end="0"/>
        <w:jc w:val="both"/>
        <w:rPr>
          <w:spacing w:val="-3"/>
        </w:rPr>
      </w:pPr>
      <w:r>
        <w:rPr>
          <w:spacing w:val="-3"/>
        </w:rPr>
        <w:t>Mitsubishi claims approximately $500,000 in unpaid freight for the voyage from the Philippines to Korea and approximately $250,000 in demurrage for vessel downtime incurred in the Philippines; ECT Singapore denies any liability for this freight and demurrage, claiming it was necessary only as a result of the off-spec nature of the cargo, caused by Mitsubishi; ECT Singapore additionally claims damages of approximately $2,525,000 as a result of the onboard contamination cargo; ECT Singapore has put its insurers on notice</w:t>
      </w:r>
    </w:p>
    <w:p>
      <w:pPr>
        <w:pStyle w:val="Normal"/>
        <w:numPr>
          <w:ilvl w:val="0"/>
          <w:numId w:val="15"/>
        </w:numPr>
        <w:tabs>
          <w:tab w:val="clear" w:pos="720"/>
        </w:tabs>
        <w:ind w:hanging="360" w:start="360" w:end="0"/>
        <w:jc w:val="both"/>
        <w:rPr>
          <w:spacing w:val="-3"/>
        </w:rPr>
      </w:pPr>
      <w:r>
        <w:rPr>
          <w:spacing w:val="-3"/>
        </w:rPr>
        <w:t>In October 2000, Mitsubishi filed an arbitration demand; Mitsubishi and ECT Singapore have agreed upon an arbitrator</w:t>
      </w:r>
    </w:p>
    <w:p>
      <w:pPr>
        <w:pStyle w:val="Normal"/>
        <w:numPr>
          <w:ilvl w:val="0"/>
          <w:numId w:val="15"/>
        </w:numPr>
        <w:tabs>
          <w:tab w:val="clear" w:pos="720"/>
        </w:tabs>
        <w:ind w:hanging="360" w:start="360" w:end="0"/>
        <w:jc w:val="both"/>
        <w:rPr>
          <w:spacing w:val="-3"/>
        </w:rPr>
      </w:pPr>
      <w:r>
        <w:rPr>
          <w:spacing w:val="-3"/>
        </w:rPr>
        <w:t>To avoid an interim arbitration award of freight, interest and attorneys’ fees, ECT Singapore agreed to pay Mitsubishi approximately $520,000; this is without prejudice to ECT Singapore’s ability to recover this from Mitsubishi later in the same arbitration after determination whether the cargo became off-spec after being loaded aboard the ship; ECT Singapore would also be able to recover its damages of approximately $2,525,000 if it made this case</w:t>
      </w:r>
    </w:p>
    <w:p>
      <w:pPr>
        <w:pStyle w:val="Normal"/>
        <w:numPr>
          <w:ilvl w:val="0"/>
          <w:numId w:val="15"/>
        </w:numPr>
        <w:tabs>
          <w:tab w:val="clear" w:pos="720"/>
        </w:tabs>
        <w:ind w:hanging="360" w:start="360" w:end="0"/>
        <w:jc w:val="both"/>
        <w:rPr>
          <w:spacing w:val="-3"/>
        </w:rPr>
      </w:pPr>
      <w:r>
        <w:rPr>
          <w:spacing w:val="-3"/>
        </w:rPr>
        <w:t>On or about January 15, 2001, a joint survey of samples of the product pre- and post- loading began in the U.K.; initial testing of pre-loading samples showed them to be off-spec for filterable dirt</w:t>
      </w:r>
    </w:p>
    <w:p>
      <w:pPr>
        <w:pStyle w:val="Normal"/>
        <w:jc w:val="both"/>
        <w:rPr>
          <w:spacing w:val="-3"/>
        </w:rPr>
      </w:pPr>
      <w:r>
        <w:rPr>
          <w:spacing w:val="-3"/>
        </w:rPr>
      </w:r>
    </w:p>
    <w:p>
      <w:pPr>
        <w:pStyle w:val="Heading7"/>
        <w:ind w:hanging="0" w:start="0"/>
        <w:rPr/>
      </w:pPr>
      <w:r>
        <w:rPr/>
        <w:t>McKenna Interests, Inc. v. Enron Mexico Holdings II, Ltd.</w:t>
        <w:tab/>
        <w:t>[UPDATED]</w:t>
      </w:r>
    </w:p>
    <w:p>
      <w:pPr>
        <w:pStyle w:val="Normal"/>
        <w:tabs>
          <w:tab w:val="clear" w:pos="720"/>
          <w:tab w:val="right" w:pos="9360" w:leader="none"/>
        </w:tabs>
        <w:jc w:val="both"/>
        <w:rPr>
          <w:bCs/>
          <w:spacing w:val="-3"/>
        </w:rPr>
      </w:pPr>
      <w:r>
        <w:rPr>
          <w:bCs/>
          <w:spacing w:val="-3"/>
        </w:rPr>
        <w:t>(Houston, Texas—self administered 3-person arbitration) (White) (Ileana Blaco, Bracewell &amp; Patterson—local counsel)</w:t>
      </w:r>
    </w:p>
    <w:p>
      <w:pPr>
        <w:pStyle w:val="Normal"/>
        <w:numPr>
          <w:ilvl w:val="0"/>
          <w:numId w:val="15"/>
        </w:numPr>
        <w:tabs>
          <w:tab w:val="clear" w:pos="720"/>
        </w:tabs>
        <w:ind w:hanging="360" w:start="360" w:end="0"/>
        <w:jc w:val="both"/>
        <w:rPr>
          <w:bCs/>
          <w:spacing w:val="-3"/>
        </w:rPr>
      </w:pPr>
      <w:r>
        <w:rPr>
          <w:bCs/>
          <w:spacing w:val="-3"/>
        </w:rPr>
        <w:t>Alleged breach of a “Project Development Cooperation Agreement” related to proposed power plant in Saltillo/Ramos Arizpe Region of Mexico, which was not built and no power purchase agreements were signed; Enron Mexico terminated Cooperation Agreement in August 1998</w:t>
      </w:r>
    </w:p>
    <w:p>
      <w:pPr>
        <w:pStyle w:val="Normal"/>
        <w:numPr>
          <w:ilvl w:val="0"/>
          <w:numId w:val="15"/>
        </w:numPr>
        <w:tabs>
          <w:tab w:val="clear" w:pos="720"/>
        </w:tabs>
        <w:ind w:hanging="360" w:start="360" w:end="0"/>
        <w:jc w:val="both"/>
        <w:rPr>
          <w:bCs/>
          <w:spacing w:val="-3"/>
        </w:rPr>
      </w:pPr>
      <w:r>
        <w:rPr>
          <w:bCs/>
          <w:spacing w:val="-3"/>
        </w:rPr>
        <w:t>Enron Mexico currently developing power plant in Monterrey, Mexico; McKenna claims right to payment under Cooperation Agreement based on the Monterrey project</w:t>
      </w:r>
    </w:p>
    <w:p>
      <w:pPr>
        <w:pStyle w:val="Normal"/>
        <w:numPr>
          <w:ilvl w:val="0"/>
          <w:numId w:val="15"/>
        </w:numPr>
        <w:tabs>
          <w:tab w:val="clear" w:pos="720"/>
        </w:tabs>
        <w:ind w:hanging="360" w:start="360" w:end="0"/>
        <w:jc w:val="both"/>
        <w:rPr>
          <w:bCs/>
          <w:spacing w:val="-3"/>
        </w:rPr>
      </w:pPr>
      <w:r>
        <w:rPr>
          <w:bCs/>
          <w:spacing w:val="-3"/>
        </w:rPr>
        <w:t>Damages are unspecified</w:t>
      </w:r>
    </w:p>
    <w:p>
      <w:pPr>
        <w:pStyle w:val="Normal"/>
        <w:numPr>
          <w:ilvl w:val="0"/>
          <w:numId w:val="15"/>
        </w:numPr>
        <w:tabs>
          <w:tab w:val="clear" w:pos="720"/>
        </w:tabs>
        <w:ind w:hanging="360" w:start="360" w:end="0"/>
        <w:jc w:val="both"/>
        <w:rPr>
          <w:bCs/>
          <w:spacing w:val="-3"/>
        </w:rPr>
      </w:pPr>
      <w:r>
        <w:rPr>
          <w:bCs/>
          <w:spacing w:val="-3"/>
        </w:rPr>
        <w:t>Enron Mexico nominated Tom McDade as its party arbitrator; McKenna nominated Joe Reynolds; Fines E. Cowan selected as third (neutral) arbitrator</w:t>
      </w:r>
    </w:p>
    <w:p>
      <w:pPr>
        <w:pStyle w:val="Normal"/>
        <w:numPr>
          <w:ilvl w:val="0"/>
          <w:numId w:val="15"/>
        </w:numPr>
        <w:tabs>
          <w:tab w:val="clear" w:pos="720"/>
        </w:tabs>
        <w:ind w:hanging="360" w:start="360" w:end="0"/>
        <w:jc w:val="both"/>
        <w:rPr>
          <w:bCs/>
          <w:spacing w:val="-3"/>
        </w:rPr>
      </w:pPr>
      <w:r>
        <w:rPr>
          <w:b/>
          <w:spacing w:val="-3"/>
        </w:rPr>
        <w:t>Discovery ongoing</w:t>
      </w:r>
    </w:p>
    <w:p>
      <w:pPr>
        <w:pStyle w:val="Normal"/>
        <w:jc w:val="both"/>
        <w:rPr>
          <w:bCs/>
          <w:spacing w:val="-3"/>
        </w:rPr>
      </w:pPr>
      <w:r>
        <w:rPr>
          <w:bCs/>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1"/>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1"/>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1"/>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1"/>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1"/>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1"/>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1"/>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1"/>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Normal"/>
        <w:tabs>
          <w:tab w:val="clear" w:pos="720"/>
          <w:tab w:val="right" w:pos="9360" w:leader="none"/>
        </w:tabs>
        <w:jc w:val="both"/>
        <w:rPr>
          <w:spacing w:val="-3"/>
        </w:rPr>
      </w:pPr>
      <w:r>
        <w:rPr>
          <w:spacing w:val="-3"/>
        </w:rPr>
      </w:r>
    </w:p>
    <w:p>
      <w:pPr>
        <w:pStyle w:val="Heading8"/>
        <w:widowControl w:val="false"/>
        <w:suppressAutoHyphens w:val="true"/>
        <w:ind w:hanging="0" w:start="0"/>
        <w:rPr>
          <w:b/>
          <w:bCs w:val="false"/>
          <w:shadow w:val="false"/>
          <w:spacing w:val="0"/>
        </w:rPr>
      </w:pPr>
      <w:r>
        <w:rPr>
          <w:b/>
          <w:bCs w:val="false"/>
          <w:shadow w:val="false"/>
          <w:spacing w:val="0"/>
        </w:rPr>
        <w:t>In re Transredes Pipeline Rupture (January 31, 2000)</w:t>
        <w:tab/>
        <w:t>[UPDATED]</w:t>
      </w:r>
    </w:p>
    <w:p>
      <w:pPr>
        <w:pStyle w:val="BodyText"/>
        <w:widowControl w:val="false"/>
        <w:suppressAutoHyphens w:val="true"/>
        <w:rPr>
          <w:spacing w:val="0"/>
        </w:rPr>
      </w:pPr>
      <w:r>
        <w:rPr>
          <w:spacing w:val="0"/>
        </w:rPr>
        <w:t>(Desaguadero River, Bolivia) (Kisluk) (David Brown, Vinson &amp; Elkins and Mark Glasser of King &amp; Spalding—outside counsel)</w:t>
      </w:r>
    </w:p>
    <w:p>
      <w:pPr>
        <w:pStyle w:val="Header"/>
        <w:numPr>
          <w:ilvl w:val="0"/>
          <w:numId w:val="10"/>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0"/>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w:t>
      </w:r>
    </w:p>
    <w:p>
      <w:pPr>
        <w:pStyle w:val="Header"/>
        <w:numPr>
          <w:ilvl w:val="0"/>
          <w:numId w:val="10"/>
        </w:numPr>
        <w:tabs>
          <w:tab w:val="clear" w:pos="4320"/>
          <w:tab w:val="clear" w:pos="8640"/>
        </w:tabs>
        <w:jc w:val="both"/>
        <w:rPr/>
      </w:pPr>
      <w:r>
        <w:rPr/>
        <w:t>LIABILITY COVERAGE DISPUTE:</w:t>
      </w:r>
      <w:r>
        <w:rPr>
          <w:b/>
          <w:bCs/>
        </w:rPr>
        <w:t xml:space="preserve">  </w:t>
      </w:r>
      <w:r>
        <w:rPr/>
        <w:t>$100 million of insurance coverage at issue; carriers notified and adjusters engaged; reinsurers issued reservation of rights letters and advised that serious coverage issues exist; on March 14, 2000, CNA, the reinsurer, initiated legal action in English courts against LaBoliviana Ciacruz, the primary carrier, seeking to void the reinsurance contracts; on February 26, 2001, ACE, La Boliviana and Transredes entered into a letter agreement agreeing to extend the time in which arbitration must be instituted; Transredes, La Boliviana, and CNA executed Tripartite Agreement, wherein CNA agreed to amend its claim to include the rejection of coverage under the Reinsurance Policies, La Boliviana agreed to join Transredes in the proceedings, and Transredes agreed not to contest jurisdiction of the English Court; on March 26, 2001, CNA amended their petition accordingly</w:t>
      </w:r>
    </w:p>
    <w:p>
      <w:pPr>
        <w:pStyle w:val="Header"/>
        <w:numPr>
          <w:ilvl w:val="0"/>
          <w:numId w:val="10"/>
        </w:numPr>
        <w:tabs>
          <w:tab w:val="clear" w:pos="4320"/>
          <w:tab w:val="clear" w:pos="8640"/>
        </w:tabs>
        <w:jc w:val="both"/>
        <w:rPr/>
      </w:pPr>
      <w:r>
        <w:rPr/>
        <w:t xml:space="preserve">CLEAN-UP CONTRACTOR DISPUTE:  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were being negotiated, when Garner filed suit against Enron Pipeline Company and Enron Operations Services Corp. for over $7,350,000, without naming Transredes; Lee Kaplan and Michael Herman of Smyser, Kaplan &amp; Veselka, L.L.P. retained to represent the Enron defendants; Transredes’ board approved indemnity of the Enron defendants; Enron defendants filed responsive pleadings on November 27, 2000; on April 2, 2001, Transredes executed an agreement with Garner to arbitrate outstanding issues; the arbitration is set for October 1, 2001, with Joe Kirkham acting as the sole arbitrator; notice of non-suit of the Garner action against the Enron defendants filed April 18, 2001; Garner has reserved its rights to refile against the Enron entities if any favorable award is not satisfied by Transredes; </w:t>
      </w:r>
      <w:r>
        <w:rPr>
          <w:b/>
          <w:bCs/>
        </w:rPr>
        <w:t>discovery ongoing in the arbitration</w:t>
      </w:r>
    </w:p>
    <w:p>
      <w:pPr>
        <w:pStyle w:val="Header"/>
        <w:numPr>
          <w:ilvl w:val="0"/>
          <w:numId w:val="10"/>
        </w:numPr>
        <w:tabs>
          <w:tab w:val="clear" w:pos="4320"/>
          <w:tab w:val="clear" w:pos="8640"/>
        </w:tabs>
        <w:jc w:val="both"/>
        <w:rPr/>
      </w:pPr>
      <w:r>
        <w:rPr/>
        <w:t>PROPERTY CARRIER DISPUTE:</w:t>
      </w:r>
      <w:r>
        <w:rPr>
          <w:b/>
          <w:bCs/>
        </w:rPr>
        <w:t xml:space="preserve">  </w:t>
      </w:r>
      <w:r>
        <w:rPr/>
        <w:t xml:space="preserve">By letter dated November 28, 2000, ACE Europe, the lead reinsurer, officially denied Transredes’ property damage claim; </w:t>
      </w:r>
      <w:r>
        <w:rPr>
          <w:b/>
          <w:bCs/>
        </w:rPr>
        <w:t>a meeting with ACE took place May 15, 2001, wherein a settlement of Transredes’ property damage claim was reached; ACE agreed to $700,000 of a total claim of $1.2 million, resulting in $200,000 to Transredes after a $500,000 deductible; 100% of the product loss was covered, as well as $80,000 of the replacement cost of the pipe</w:t>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center"/>
        <w:rPr>
          <w:bCs/>
          <w:iCs/>
          <w:spacing w:val="-3"/>
        </w:rPr>
      </w:pPr>
      <w:r>
        <w:rPr>
          <w:bCs/>
          <w:iCs/>
          <w:spacing w:val="-3"/>
        </w:rPr>
        <w:t>None</w:t>
      </w:r>
    </w:p>
    <w:p>
      <w:pPr>
        <w:pStyle w:val="Normal"/>
        <w:tabs>
          <w:tab w:val="clear" w:pos="720"/>
          <w:tab w:val="left" w:pos="-1440" w:leader="none"/>
          <w:tab w:val="left" w:pos="-720" w:leader="none"/>
          <w:tab w:val="right" w:pos="9360" w:leader="none"/>
        </w:tabs>
        <w:suppressAutoHyphens w:val="true"/>
        <w:jc w:val="both"/>
        <w:rPr>
          <w:b/>
          <w:bCs/>
          <w:i/>
          <w:i/>
          <w:iCs/>
          <w:spacing w:val="-3"/>
        </w:rPr>
      </w:pPr>
      <w:r>
        <w:rPr>
          <w:b/>
          <w:bCs/>
          <w:i/>
          <w:iCs/>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TRANSPORTATION</w:t>
      </w:r>
    </w:p>
    <w:p>
      <w:pPr>
        <w:pStyle w:val="Normal"/>
        <w:widowControl w:val="false"/>
        <w:tabs>
          <w:tab w:val="clear" w:pos="720"/>
          <w:tab w:val="right" w:pos="9360" w:leader="none"/>
        </w:tabs>
        <w:suppressAutoHyphens w:val="true"/>
        <w:rPr>
          <w:bCs/>
          <w:i/>
          <w:i/>
          <w:spacing w:val="-3"/>
        </w:rPr>
      </w:pPr>
      <w:r>
        <w:rPr>
          <w:bCs/>
          <w:i/>
          <w:spacing w:val="-3"/>
        </w:rPr>
      </w:r>
    </w:p>
    <w:p>
      <w:pPr>
        <w:pStyle w:val="Normal"/>
        <w:widowControl w:val="false"/>
        <w:tabs>
          <w:tab w:val="clear" w:pos="720"/>
          <w:tab w:val="right" w:pos="9360" w:leader="none"/>
        </w:tabs>
        <w:suppressAutoHyphens w:val="true"/>
        <w:jc w:val="both"/>
        <w:rPr/>
      </w:pPr>
      <w:r>
        <w:rPr>
          <w:b/>
        </w:rPr>
        <w:tab/>
      </w:r>
      <w:r>
        <w:rPr>
          <w:b/>
          <w:i/>
        </w:rPr>
        <w:t>[NO UPDATE]</w:t>
      </w:r>
    </w:p>
    <w:p>
      <w:pPr>
        <w:pStyle w:val="Normal"/>
        <w:widowControl w:val="false"/>
        <w:tabs>
          <w:tab w:val="clear" w:pos="720"/>
          <w:tab w:val="right" w:pos="9360" w:leader="none"/>
        </w:tabs>
        <w:suppressAutoHyphens w:val="true"/>
        <w:jc w:val="both"/>
        <w:rPr>
          <w:b/>
          <w:i/>
          <w:i/>
        </w:rPr>
      </w:pPr>
      <w:r>
        <w:rPr>
          <w:b/>
          <w:i/>
        </w:rPr>
        <w:t>Class of Gas Producers and Royalty Owners v. Gas Pipelines, et al. [“Quinque”]</w:t>
      </w:r>
    </w:p>
    <w:p>
      <w:pPr>
        <w:pStyle w:val="Normal"/>
        <w:widowControl w:val="false"/>
        <w:tabs>
          <w:tab w:val="clear" w:pos="720"/>
          <w:tab w:val="right" w:pos="9360" w:leader="none"/>
        </w:tabs>
        <w:suppressAutoHyphens w:val="true"/>
        <w:jc w:val="both"/>
        <w:rPr/>
      </w:pPr>
      <w:r>
        <w:rPr/>
        <w:t>(Stevens County, Kansas state court) (Cheek/Davis) (Gibbs &amp; Bruns, Vinson &amp; Elkins—associate counsel; Doug Crotty—local counsel)</w:t>
      </w:r>
    </w:p>
    <w:p>
      <w:pPr>
        <w:pStyle w:val="Normal"/>
        <w:widowControl w:val="false"/>
        <w:numPr>
          <w:ilvl w:val="0"/>
          <w:numId w:val="8"/>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8"/>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8"/>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8"/>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8"/>
        </w:numPr>
        <w:tabs>
          <w:tab w:val="clear" w:pos="720"/>
          <w:tab w:val="right" w:pos="9360" w:leader="none"/>
        </w:tabs>
        <w:suppressAutoHyphens w:val="true"/>
        <w:jc w:val="both"/>
        <w:rPr/>
      </w:pPr>
      <w:r>
        <w:rPr/>
        <w:t>On January 3, 2001, the court heard oral argument on plaintiffs’ motion to remand; on January 12, 2001, the court announced verbally it would grant the motion; the court has still to rule on whether plaintiffs are entitled to costs; on January 16, 2001, NNG and others moved for reconsideration; plaintiff’s opposition filed January 31, 2001; by order dated March 2, 2001, court denied motion to reconsider and remanded case to Kansas state court</w:t>
      </w:r>
    </w:p>
    <w:p>
      <w:pPr>
        <w:pStyle w:val="Normal"/>
        <w:widowControl w:val="false"/>
        <w:numPr>
          <w:ilvl w:val="0"/>
          <w:numId w:val="8"/>
        </w:numPr>
        <w:tabs>
          <w:tab w:val="clear" w:pos="720"/>
          <w:tab w:val="right" w:pos="9360" w:leader="none"/>
        </w:tabs>
        <w:suppressAutoHyphens w:val="true"/>
        <w:jc w:val="both"/>
        <w:rPr/>
      </w:pPr>
      <w:r>
        <w:rPr/>
        <w:t>On March 15, 2001, Judge Smith ordered a temporary stay in the proceedings and set a case management conference for April 11, 2001</w:t>
      </w:r>
    </w:p>
    <w:p>
      <w:pPr>
        <w:pStyle w:val="Normal"/>
        <w:widowControl w:val="false"/>
        <w:numPr>
          <w:ilvl w:val="0"/>
          <w:numId w:val="8"/>
        </w:numPr>
        <w:tabs>
          <w:tab w:val="clear" w:pos="720"/>
          <w:tab w:val="right" w:pos="9360" w:leader="none"/>
        </w:tabs>
        <w:suppressAutoHyphens w:val="true"/>
        <w:jc w:val="both"/>
        <w:rPr>
          <w:b/>
          <w:bCs/>
        </w:rPr>
      </w:pPr>
      <w:r>
        <w:rPr>
          <w:i/>
        </w:rPr>
        <w:t xml:space="preserve">See Grynberg II </w:t>
      </w:r>
      <w:r>
        <w:rPr>
          <w:iCs/>
        </w:rPr>
        <w:t>and</w:t>
      </w:r>
      <w:r>
        <w:rPr>
          <w:i/>
        </w:rPr>
        <w:t xml:space="preserve"> Moye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t>In re April 1, 2001 Incident—Eloy Bay Offshore</w:t>
      </w:r>
      <w:r>
        <w:rPr>
          <w:b/>
          <w:spacing w:val="-3"/>
        </w:rPr>
        <w:tab/>
      </w:r>
      <w:r>
        <w:rPr>
          <w:b/>
          <w:i/>
          <w:spacing w:val="-3"/>
        </w:rPr>
        <w:t>[NO UPDATE</w:t>
      </w:r>
      <w:r>
        <w:rPr>
          <w:b/>
          <w:spacing w:val="-3"/>
        </w:rPr>
        <w:t>]</w:t>
      </w:r>
    </w:p>
    <w:p>
      <w:pPr>
        <w:pStyle w:val="BodyText"/>
        <w:widowControl w:val="false"/>
        <w:suppressAutoHyphens w:val="true"/>
        <w:rPr>
          <w:bCs/>
        </w:rPr>
      </w:pPr>
      <w:r>
        <w:rPr>
          <w:bCs/>
        </w:rPr>
        <w:t>(not yet filed) (Kisluk)</w:t>
      </w:r>
    </w:p>
    <w:p>
      <w:pPr>
        <w:pStyle w:val="Header"/>
        <w:widowControl w:val="false"/>
        <w:numPr>
          <w:ilvl w:val="0"/>
          <w:numId w:val="17"/>
        </w:numPr>
        <w:tabs>
          <w:tab w:val="clear" w:pos="4320"/>
          <w:tab w:val="clear" w:pos="8640"/>
          <w:tab w:val="right" w:pos="9360" w:leader="none"/>
        </w:tabs>
        <w:suppressAutoHyphens w:val="true"/>
        <w:jc w:val="both"/>
        <w:rPr>
          <w:bCs/>
          <w:spacing w:val="-3"/>
        </w:rPr>
      </w:pPr>
      <w:r>
        <w:rPr>
          <w:bCs/>
          <w:spacing w:val="-3"/>
        </w:rPr>
        <w:t>Investigation of incident regarding accident involving ETS employee Richard Payne while operating a crane on rig owned by EOTT</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Enron Petrochemicals, Inc. Claim Against Underwriters</w:t>
      </w:r>
      <w:r>
        <w:rPr>
          <w:b/>
          <w:spacing w:val="-3"/>
        </w:rPr>
        <w:tab/>
      </w:r>
      <w:r>
        <w:rPr>
          <w:b/>
          <w:i/>
          <w:spacing w:val="-3"/>
        </w:rPr>
        <w:t>[NO UPDATE</w:t>
      </w:r>
      <w:r>
        <w:rPr>
          <w:b/>
          <w:spacing w:val="-3"/>
        </w:rPr>
        <w:t>]</w:t>
      </w:r>
    </w:p>
    <w:p>
      <w:pPr>
        <w:pStyle w:val="BodyText"/>
        <w:widowControl w:val="false"/>
        <w:suppressAutoHyphens w:val="true"/>
        <w:rPr>
          <w:bCs/>
        </w:rPr>
      </w:pPr>
      <w:r>
        <w:rPr>
          <w:bCs/>
        </w:rPr>
        <w:t>(not yet filed) (Davis)</w:t>
      </w:r>
    </w:p>
    <w:p>
      <w:pPr>
        <w:pStyle w:val="Header"/>
        <w:widowControl w:val="false"/>
        <w:numPr>
          <w:ilvl w:val="0"/>
          <w:numId w:val="17"/>
        </w:numPr>
        <w:tabs>
          <w:tab w:val="clear" w:pos="4320"/>
          <w:tab w:val="clear" w:pos="8640"/>
          <w:tab w:val="right" w:pos="9360" w:leader="none"/>
        </w:tabs>
        <w:suppressAutoHyphens w:val="true"/>
        <w:jc w:val="both"/>
        <w:rPr>
          <w:bCs/>
          <w:spacing w:val="-3"/>
        </w:rPr>
      </w:pPr>
      <w:r>
        <w:rPr>
          <w:bCs/>
          <w:spacing w:val="-3"/>
        </w:rPr>
        <w:t>Investigation of EPI claim against its underwriters for over $900,000 for contamination of a load of styrene monomer at Baytank facility in Texas, as discovered on or about November 4, 1999</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pPr>
      <w:r>
        <w:rPr/>
        <w:t>Halili v. FGT</w:t>
        <w:tab/>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Action filed June 12, 2000 seeking $697,000,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Responsive pleadings filed September 1,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Case Management Conference held November 7,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Pretrial conference scheduled June 18, 2001</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Mediation scheduled May 18, 2001</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Trial scheduled June 25, 2001</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3"/>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3"/>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3"/>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3"/>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3"/>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by order dated June 15, 2000, Court allowed Northern’s proof of claim in the amount of $5 million, which waives Trustees accounts receivables claim</w:t>
      </w:r>
    </w:p>
    <w:p>
      <w:pPr>
        <w:pStyle w:val="Normal"/>
        <w:widowControl w:val="false"/>
        <w:numPr>
          <w:ilvl w:val="0"/>
          <w:numId w:val="13"/>
        </w:numPr>
        <w:tabs>
          <w:tab w:val="clear" w:pos="720"/>
          <w:tab w:val="right" w:pos="9360" w:leader="none"/>
        </w:tabs>
        <w:suppressAutoHyphens w:val="true"/>
        <w:jc w:val="both"/>
        <w:rPr>
          <w:spacing w:val="-3"/>
        </w:rPr>
      </w:pPr>
      <w:r>
        <w:rPr>
          <w:spacing w:val="-3"/>
        </w:rPr>
        <w:t>On March 23, 2000, Northern (and numerous other parties) served with adversary actions alleging preferential transfers of approximately. $436,000 as to Northern settled at mediation on August 29, 2000, for $180,000; settlement documents executed; order dismissing claims asserted against Northern signed on November 15, 2000</w:t>
      </w:r>
    </w:p>
    <w:p>
      <w:pPr>
        <w:pStyle w:val="Normal"/>
        <w:widowControl w:val="false"/>
        <w:numPr>
          <w:ilvl w:val="0"/>
          <w:numId w:val="13"/>
        </w:numPr>
        <w:tabs>
          <w:tab w:val="clear" w:pos="720"/>
          <w:tab w:val="right" w:pos="9360" w:leader="none"/>
        </w:tabs>
        <w:suppressAutoHyphens w:val="true"/>
        <w:jc w:val="both"/>
        <w:rPr>
          <w:spacing w:val="-3"/>
        </w:rPr>
      </w:pPr>
      <w:r>
        <w:rPr>
          <w:spacing w:val="-3"/>
        </w:rPr>
        <w:t>On June 28, 2000, Northern received $646,471.84 for distribution from Trustee; on November 27, 2000, Northern received $67,678.86 distribution from the Trustee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8"/>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8"/>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8"/>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8"/>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8"/>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8"/>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8"/>
        </w:numPr>
        <w:tabs>
          <w:tab w:val="clear" w:pos="720"/>
          <w:tab w:val="right" w:pos="9360" w:leader="none"/>
        </w:tabs>
        <w:suppressAutoHyphens w:val="true"/>
        <w:jc w:val="both"/>
        <w:rPr>
          <w:spacing w:val="-3"/>
        </w:rPr>
      </w:pPr>
      <w:r>
        <w:rPr>
          <w:spacing w:val="-3"/>
        </w:rPr>
        <w:t>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on October 6, 2000, Exxon filed writ of mandamus—FGT did not join in that filing</w:t>
      </w:r>
    </w:p>
    <w:p>
      <w:pPr>
        <w:pStyle w:val="Normal"/>
        <w:widowControl w:val="false"/>
        <w:numPr>
          <w:ilvl w:val="0"/>
          <w:numId w:val="18"/>
        </w:numPr>
        <w:tabs>
          <w:tab w:val="clear" w:pos="720"/>
          <w:tab w:val="right" w:pos="9360" w:leader="none"/>
        </w:tabs>
        <w:suppressAutoHyphens w:val="true"/>
        <w:jc w:val="both"/>
        <w:rPr>
          <w:spacing w:val="-3"/>
        </w:rPr>
      </w:pPr>
      <w:r>
        <w:rPr>
          <w:spacing w:val="-3"/>
        </w:rPr>
        <w:t xml:space="preserve">Case currently being monitored by Staci Holtzman; ELU awaiting further instructions.  </w:t>
      </w:r>
    </w:p>
    <w:p>
      <w:pPr>
        <w:pStyle w:val="Normal"/>
        <w:widowControl w:val="false"/>
        <w:numPr>
          <w:ilvl w:val="0"/>
          <w:numId w:val="18"/>
        </w:numPr>
        <w:tabs>
          <w:tab w:val="clear" w:pos="720"/>
          <w:tab w:val="right" w:pos="9360" w:leader="none"/>
        </w:tabs>
        <w:suppressAutoHyphens w:val="true"/>
        <w:jc w:val="both"/>
        <w:rPr>
          <w:spacing w:val="-3"/>
        </w:rPr>
      </w:pPr>
      <w:r>
        <w:rPr>
          <w:i/>
          <w:spacing w:val="-3"/>
        </w:rPr>
        <w:t xml:space="preserve">See Grynberg II </w:t>
      </w:r>
      <w:r>
        <w:rPr>
          <w:iCs/>
          <w:spacing w:val="-3"/>
        </w:rPr>
        <w:t xml:space="preserve">and </w:t>
      </w:r>
      <w:r>
        <w:rPr>
          <w:i/>
          <w:spacing w:val="-3"/>
        </w:rPr>
        <w:t>Quinque</w:t>
      </w:r>
    </w:p>
    <w:p>
      <w:pPr>
        <w:pStyle w:val="Heading7"/>
        <w:suppressAutoHyphens w:val="true"/>
        <w:ind w:hanging="0" w:start="0"/>
        <w:rPr/>
      </w:pPr>
      <w:r>
        <w:rPr/>
        <w:tab/>
      </w:r>
    </w:p>
    <w:p>
      <w:pPr>
        <w:pStyle w:val="Heading7"/>
        <w:suppressAutoHyphens w:val="true"/>
        <w:ind w:hanging="0" w:start="0"/>
        <w:rPr/>
      </w:pPr>
      <w:r>
        <w:rPr/>
        <w:t xml:space="preserve">Northern Natural Gas Company v. ONEOK Bushton Processing, Inc. </w:t>
        <w:tab/>
        <w:t>[UPDATED]</w:t>
        <w:tab/>
      </w:r>
    </w:p>
    <w:p>
      <w:pPr>
        <w:pStyle w:val="toaheading"/>
        <w:tabs>
          <w:tab w:val="clear" w:pos="720"/>
          <w:tab w:val="right" w:pos="9360" w:leader="none"/>
        </w:tabs>
        <w:spacing w:before="0" w:after="0"/>
        <w:jc w:val="both"/>
        <w:rPr>
          <w:b w:val="false"/>
          <w:bCs/>
          <w:caps w:val="false"/>
          <w:smallCaps w:val="false"/>
          <w:spacing w:val="-3"/>
        </w:rPr>
      </w:pPr>
      <w:r>
        <w:rPr>
          <w:b w:val="false"/>
          <w:bCs/>
          <w:caps w:val="false"/>
          <w:smallCaps w:val="false"/>
          <w:spacing w:val="-3"/>
        </w:rPr>
        <w:t>(self administered arbitration) (Davis) (Grant Harvey, Gibbs &amp; Bruns – outside counsel)</w:t>
      </w:r>
    </w:p>
    <w:p>
      <w:pPr>
        <w:pStyle w:val="Normal"/>
        <w:numPr>
          <w:ilvl w:val="0"/>
          <w:numId w:val="18"/>
        </w:numPr>
        <w:tabs>
          <w:tab w:val="clear" w:pos="720"/>
          <w:tab w:val="right" w:pos="9360" w:leader="none"/>
        </w:tabs>
        <w:jc w:val="both"/>
        <w:rPr>
          <w:bCs/>
          <w:spacing w:val="-3"/>
        </w:rPr>
      </w:pPr>
      <w:r>
        <w:rPr>
          <w:bCs/>
          <w:spacing w:val="-3"/>
        </w:rPr>
        <w:t xml:space="preserve">On February 23, 2001, Northern served demand for arbitration and designated Steve Anderton </w:t>
      </w:r>
      <w:r>
        <w:rPr>
          <w:bCs/>
        </w:rPr>
        <w:t>of Strasburger &amp; Price</w:t>
      </w:r>
      <w:r>
        <w:rPr>
          <w:bCs/>
          <w:spacing w:val="-3"/>
        </w:rPr>
        <w:t xml:space="preserve"> as arbitrator</w:t>
      </w:r>
    </w:p>
    <w:p>
      <w:pPr>
        <w:pStyle w:val="Normal"/>
        <w:numPr>
          <w:ilvl w:val="0"/>
          <w:numId w:val="18"/>
        </w:numPr>
        <w:tabs>
          <w:tab w:val="clear" w:pos="720"/>
          <w:tab w:val="right" w:pos="9360" w:leader="none"/>
        </w:tabs>
        <w:jc w:val="both"/>
        <w:rPr>
          <w:bCs/>
          <w:spacing w:val="-3"/>
        </w:rPr>
      </w:pPr>
      <w:r>
        <w:rPr>
          <w:bCs/>
          <w:spacing w:val="-3"/>
        </w:rPr>
        <w:t>On March 9, 2001,ONEOK designated James Gaitis as ONEOK’s arbitrator</w:t>
      </w:r>
    </w:p>
    <w:p>
      <w:pPr>
        <w:pStyle w:val="Normal"/>
        <w:numPr>
          <w:ilvl w:val="0"/>
          <w:numId w:val="18"/>
        </w:numPr>
        <w:tabs>
          <w:tab w:val="clear" w:pos="720"/>
          <w:tab w:val="right" w:pos="9360" w:leader="none"/>
        </w:tabs>
        <w:jc w:val="both"/>
        <w:rPr>
          <w:bCs/>
          <w:spacing w:val="-3"/>
        </w:rPr>
      </w:pPr>
      <w:r>
        <w:rPr>
          <w:bCs/>
          <w:spacing w:val="-3"/>
        </w:rPr>
        <w:t>John Bowman of Fulbright &amp; Jawarski selected as neutral on</w:t>
      </w:r>
      <w:r>
        <w:rPr>
          <w:b/>
          <w:spacing w:val="-3"/>
        </w:rPr>
        <w:t xml:space="preserve"> </w:t>
      </w:r>
      <w:r>
        <w:rPr>
          <w:bCs/>
          <w:spacing w:val="-3"/>
        </w:rPr>
        <w:t>March 23, 2001</w:t>
      </w:r>
    </w:p>
    <w:p>
      <w:pPr>
        <w:pStyle w:val="Normal"/>
        <w:numPr>
          <w:ilvl w:val="0"/>
          <w:numId w:val="18"/>
        </w:numPr>
        <w:tabs>
          <w:tab w:val="clear" w:pos="720"/>
          <w:tab w:val="right" w:pos="9360" w:leader="none"/>
        </w:tabs>
        <w:jc w:val="both"/>
        <w:rPr>
          <w:bCs/>
          <w:spacing w:val="-3"/>
          <w:u w:val="single"/>
        </w:rPr>
      </w:pPr>
      <w:r>
        <w:rPr>
          <w:bCs/>
        </w:rPr>
        <w:t xml:space="preserve">NNG claims over $3.3 million on a measurement-related imbalance claim; ONEOK counterclaim of approximately $4.4 million alleging mismeasurement at Bushton Plant since July 1998 </w:t>
      </w:r>
    </w:p>
    <w:p>
      <w:pPr>
        <w:pStyle w:val="Normal"/>
        <w:numPr>
          <w:ilvl w:val="0"/>
          <w:numId w:val="18"/>
        </w:numPr>
        <w:tabs>
          <w:tab w:val="clear" w:pos="720"/>
          <w:tab w:val="right" w:pos="9360" w:leader="none"/>
        </w:tabs>
        <w:jc w:val="both"/>
        <w:rPr>
          <w:bCs/>
          <w:spacing w:val="-3"/>
        </w:rPr>
      </w:pPr>
      <w:r>
        <w:rPr>
          <w:b/>
          <w:spacing w:val="-3"/>
        </w:rPr>
        <w:t>Arbitration began May 9, 2001, and continues with closing statements expected on May 18, 2001</w:t>
      </w:r>
    </w:p>
    <w:p>
      <w:pPr>
        <w:pStyle w:val="Normal"/>
        <w:numPr>
          <w:ilvl w:val="0"/>
          <w:numId w:val="18"/>
        </w:numPr>
        <w:tabs>
          <w:tab w:val="clear" w:pos="720"/>
          <w:tab w:val="right" w:pos="9360" w:leader="none"/>
        </w:tabs>
        <w:jc w:val="both"/>
        <w:rPr>
          <w:bCs/>
          <w:spacing w:val="-3"/>
          <w:u w:val="single"/>
        </w:rPr>
      </w:pPr>
      <w:r>
        <w:rPr>
          <w:bCs/>
          <w:i/>
          <w:iCs/>
        </w:rPr>
        <w:t xml:space="preserve">See NNG v. ONEOK </w:t>
      </w:r>
      <w:r>
        <w:rPr>
          <w:bCs/>
        </w:rPr>
        <w:t>(DJ action)</w:t>
      </w:r>
    </w:p>
    <w:p>
      <w:pPr>
        <w:pStyle w:val="Normal"/>
        <w:widowControl w:val="false"/>
        <w:tabs>
          <w:tab w:val="clear" w:pos="720"/>
          <w:tab w:val="right" w:pos="9360" w:leader="none"/>
        </w:tabs>
        <w:suppressAutoHyphens w:val="true"/>
        <w:jc w:val="both"/>
        <w:rPr>
          <w:bCs/>
          <w:spacing w:val="-3"/>
          <w:u w:val="single"/>
        </w:rPr>
      </w:pPr>
      <w:r>
        <w:rPr>
          <w:bCs/>
          <w:spacing w:val="-3"/>
          <w:u w:val="single"/>
        </w:rPr>
      </w:r>
    </w:p>
    <w:p>
      <w:pPr>
        <w:pStyle w:val="Heading7"/>
        <w:tabs>
          <w:tab w:val="right" w:pos="9360" w:leader="none"/>
          <w:tab w:val="left" w:pos="10980" w:leader="none"/>
        </w:tabs>
        <w:suppressAutoHyphens w:val="true"/>
        <w:ind w:hanging="0" w:start="0"/>
        <w:rPr/>
      </w:pPr>
      <w:r>
        <w:rPr/>
        <w:tab/>
        <w:t>[NO UPDATE]</w:t>
      </w:r>
    </w:p>
    <w:p>
      <w:pPr>
        <w:pStyle w:val="Heading7"/>
        <w:tabs>
          <w:tab w:val="left" w:pos="8190" w:leader="none"/>
          <w:tab w:val="right" w:pos="9360" w:leader="none"/>
          <w:tab w:val="left" w:pos="10980" w:leader="none"/>
        </w:tabs>
        <w:suppressAutoHyphens w:val="true"/>
        <w:ind w:hanging="0" w:start="0"/>
        <w:rPr/>
      </w:pPr>
      <w:r>
        <w:rPr/>
        <w:t>Northern Natural Gas Company v. ONEOK Bushton Processing, Inc. (a/k/a) In re Northern Claim Against Oneok)</w:t>
      </w:r>
    </w:p>
    <w:p>
      <w:pPr>
        <w:pStyle w:val="Normal"/>
        <w:widowControl w:val="false"/>
        <w:tabs>
          <w:tab w:val="clear" w:pos="720"/>
          <w:tab w:val="right" w:pos="9360" w:leader="none"/>
        </w:tabs>
        <w:jc w:val="both"/>
        <w:rPr/>
      </w:pPr>
      <w:r>
        <w:rPr>
          <w:bCs/>
          <w:iCs/>
          <w:spacing w:val="-3"/>
        </w:rPr>
        <w:t xml:space="preserve">(District Court, Harris County, Texas) (Davis) </w:t>
      </w:r>
      <w:r>
        <w:rPr>
          <w:bCs/>
          <w:spacing w:val="-3"/>
        </w:rPr>
        <w:t>(Grant Harvey, Gibbs &amp; Bruns – outside counsel)</w:t>
      </w:r>
    </w:p>
    <w:p>
      <w:pPr>
        <w:pStyle w:val="Normal"/>
        <w:numPr>
          <w:ilvl w:val="0"/>
          <w:numId w:val="18"/>
        </w:numPr>
        <w:tabs>
          <w:tab w:val="clear" w:pos="720"/>
          <w:tab w:val="right" w:pos="9360" w:leader="none"/>
        </w:tabs>
        <w:jc w:val="both"/>
        <w:rPr>
          <w:bCs/>
          <w:iCs/>
          <w:spacing w:val="-3"/>
        </w:rPr>
      </w:pPr>
      <w:r>
        <w:rPr>
          <w:bCs/>
        </w:rPr>
        <w:t>On February 23, 2001, Northern filed declaratory judgment action seeking order that ONEOK must pay imbalances arising out of contractually required measurement methodology</w:t>
      </w:r>
    </w:p>
    <w:p>
      <w:pPr>
        <w:pStyle w:val="Normal"/>
        <w:numPr>
          <w:ilvl w:val="0"/>
          <w:numId w:val="18"/>
        </w:numPr>
        <w:tabs>
          <w:tab w:val="clear" w:pos="720"/>
          <w:tab w:val="right" w:pos="9360" w:leader="none"/>
        </w:tabs>
        <w:jc w:val="both"/>
        <w:rPr>
          <w:bCs/>
          <w:iCs/>
          <w:spacing w:val="-3"/>
        </w:rPr>
      </w:pPr>
      <w:r>
        <w:rPr>
          <w:bCs/>
        </w:rPr>
        <w:t>ONEOK served on Monday, February 26, 2001;  ONEOK’s answer due March 29, 2001</w:t>
      </w:r>
    </w:p>
    <w:p>
      <w:pPr>
        <w:pStyle w:val="Normal"/>
        <w:numPr>
          <w:ilvl w:val="0"/>
          <w:numId w:val="18"/>
        </w:numPr>
        <w:tabs>
          <w:tab w:val="clear" w:pos="720"/>
          <w:tab w:val="right" w:pos="9360" w:leader="none"/>
        </w:tabs>
        <w:jc w:val="both"/>
        <w:rPr>
          <w:bCs/>
          <w:iCs/>
          <w:spacing w:val="-3"/>
        </w:rPr>
      </w:pPr>
      <w:r>
        <w:rPr>
          <w:bCs/>
          <w:i/>
          <w:iCs/>
        </w:rPr>
        <w:t>See NNG v. ONEOK</w:t>
      </w:r>
      <w:r>
        <w:rPr>
          <w:bCs/>
        </w:rPr>
        <w:t xml:space="preserve"> (arbitration)</w:t>
      </w:r>
    </w:p>
    <w:p>
      <w:pPr>
        <w:pStyle w:val="Normal"/>
        <w:tabs>
          <w:tab w:val="clear" w:pos="720"/>
          <w:tab w:val="right" w:pos="9360" w:leader="none"/>
        </w:tabs>
        <w:jc w:val="both"/>
        <w:rPr>
          <w:bCs/>
          <w:iCs/>
          <w:spacing w:val="-3"/>
        </w:rPr>
      </w:pPr>
      <w:r>
        <w:rPr>
          <w:bCs/>
          <w:iCs/>
          <w:spacing w:val="-3"/>
        </w:rPr>
      </w:r>
    </w:p>
    <w:p>
      <w:pPr>
        <w:pStyle w:val="Normal"/>
        <w:widowControl w:val="false"/>
        <w:tabs>
          <w:tab w:val="clear" w:pos="720"/>
          <w:tab w:val="right" w:pos="9360" w:leader="none"/>
        </w:tabs>
        <w:jc w:val="both"/>
        <w:rPr>
          <w:b/>
          <w:i/>
          <w:i/>
          <w:spacing w:val="-3"/>
        </w:rPr>
      </w:pPr>
      <w:r>
        <w:rPr>
          <w:b/>
          <w:i/>
          <w:spacing w:val="-3"/>
        </w:rPr>
        <w:tab/>
        <w:t>[NO UPDATE]</w:t>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Southern Natural Gas Company (including FGT, Citrus, and Citrus Interstate) </w:t>
      </w:r>
      <w:r>
        <w:rPr>
          <w:b/>
          <w:spacing w:val="-3"/>
        </w:rPr>
        <w:t>(“</w:t>
      </w:r>
      <w:r>
        <w:rPr>
          <w:b/>
          <w:i/>
          <w:spacing w:val="-3"/>
        </w:rPr>
        <w:t>Grynberg II</w:t>
      </w:r>
      <w:r>
        <w:rPr>
          <w:b/>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6"/>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6"/>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6"/>
        </w:numPr>
        <w:rPr/>
      </w:pPr>
      <w:r>
        <w:rPr/>
        <w:t>Justice Department determined not to intervene in the actions naming over 300 pipeline/gatherers, gas marketers and producers</w:t>
      </w:r>
    </w:p>
    <w:p>
      <w:pPr>
        <w:pStyle w:val="BodyText"/>
        <w:widowControl w:val="false"/>
        <w:numPr>
          <w:ilvl w:val="0"/>
          <w:numId w:val="6"/>
        </w:numPr>
        <w:rPr/>
      </w:pPr>
      <w:r>
        <w:rPr/>
        <w:t xml:space="preserve">Industry Steering Committees formed </w:t>
      </w:r>
    </w:p>
    <w:p>
      <w:pPr>
        <w:pStyle w:val="Normal"/>
        <w:numPr>
          <w:ilvl w:val="0"/>
          <w:numId w:val="16"/>
        </w:numPr>
        <w:suppressAutoHyphens w:val="true"/>
        <w:jc w:val="both"/>
        <w:rPr>
          <w:i/>
          <w:i/>
          <w:spacing w:val="-3"/>
        </w:rPr>
      </w:pPr>
      <w:r>
        <w:rPr/>
        <w:t>October 20, 1999, MDL panel ordered consolidation in Wyoming</w:t>
      </w:r>
    </w:p>
    <w:p>
      <w:pPr>
        <w:pStyle w:val="Normal"/>
        <w:numPr>
          <w:ilvl w:val="0"/>
          <w:numId w:val="16"/>
        </w:numPr>
        <w:suppressAutoHyphens w:val="true"/>
        <w:jc w:val="both"/>
        <w:rPr>
          <w:i/>
          <w:i/>
          <w:spacing w:val="-3"/>
        </w:rPr>
      </w:pPr>
      <w:r>
        <w:rPr/>
        <w:t>Enron entities joined filing on November 19, 1999 of Coordinated Defendants’ Motion to Dismiss; on January 14, 2000, Grynberg responded; defendants replied on February 14, 2000; oral argument held March 17, 2000; await ruling</w:t>
      </w:r>
    </w:p>
    <w:p>
      <w:pPr>
        <w:pStyle w:val="Normal"/>
        <w:widowControl w:val="false"/>
        <w:numPr>
          <w:ilvl w:val="0"/>
          <w:numId w:val="8"/>
        </w:numPr>
        <w:tabs>
          <w:tab w:val="clear" w:pos="720"/>
          <w:tab w:val="right" w:pos="9360" w:leader="none"/>
        </w:tabs>
        <w:suppressAutoHyphens w:val="true"/>
        <w:jc w:val="both"/>
        <w:rPr/>
      </w:pPr>
      <w:r>
        <w:rPr/>
        <w:t>On October 6, 2000, MDL Panel ordered the Wright and Osterhoudt East Texas gas cases transferred to Wyoming and consolidated with MDL-1293</w:t>
      </w:r>
    </w:p>
    <w:p>
      <w:pPr>
        <w:pStyle w:val="Normal"/>
        <w:widowControl w:val="false"/>
        <w:numPr>
          <w:ilvl w:val="0"/>
          <w:numId w:val="8"/>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hearing thereon set for February 22, 2001</w:t>
      </w:r>
    </w:p>
    <w:p>
      <w:pPr>
        <w:pStyle w:val="Normal"/>
        <w:widowControl w:val="false"/>
        <w:numPr>
          <w:ilvl w:val="0"/>
          <w:numId w:val="8"/>
        </w:numPr>
        <w:tabs>
          <w:tab w:val="clear" w:pos="720"/>
          <w:tab w:val="right" w:pos="9360" w:leader="none"/>
        </w:tabs>
        <w:suppressAutoHyphens w:val="true"/>
        <w:jc w:val="both"/>
        <w:rPr/>
      </w:pPr>
      <w:r>
        <w:rPr/>
        <w:t>Hearing regarding U.S. motion to dismiss valuation portion of Grynberg’s claim held February 22, 2001; await reply</w:t>
      </w:r>
    </w:p>
    <w:p>
      <w:pPr>
        <w:pStyle w:val="Normal"/>
        <w:widowControl w:val="false"/>
        <w:numPr>
          <w:ilvl w:val="0"/>
          <w:numId w:val="8"/>
        </w:numPr>
        <w:tabs>
          <w:tab w:val="clear" w:pos="720"/>
          <w:tab w:val="right" w:pos="9360" w:leader="none"/>
        </w:tabs>
        <w:suppressAutoHyphens w:val="true"/>
        <w:jc w:val="both"/>
        <w:rPr/>
      </w:pPr>
      <w:r>
        <w:rPr>
          <w:i/>
          <w:iCs/>
        </w:rPr>
        <w:t>See Quinque</w:t>
      </w:r>
      <w:r>
        <w:rPr/>
        <w:t xml:space="preserve"> and </w:t>
      </w:r>
      <w:r>
        <w:rPr>
          <w:i/>
          <w:iCs/>
        </w:rPr>
        <w:t>Moye</w:t>
      </w:r>
    </w:p>
    <w:p>
      <w:pPr>
        <w:pStyle w:val="Normal"/>
        <w:suppressAutoHyphens w:val="true"/>
        <w:jc w:val="both"/>
        <w:rPr>
          <w:bCs/>
          <w:i/>
          <w:i/>
          <w:spacing w:val="-3"/>
        </w:rPr>
      </w:pPr>
      <w:r>
        <w:rPr>
          <w:bCs/>
          <w:i/>
          <w:spacing w:val="-3"/>
        </w:rPr>
      </w:r>
    </w:p>
    <w:p>
      <w:pPr>
        <w:pStyle w:val="Normal"/>
        <w:tabs>
          <w:tab w:val="clear" w:pos="720"/>
          <w:tab w:val="right" w:pos="9360" w:leader="none"/>
        </w:tabs>
        <w:jc w:val="center"/>
        <w:rPr>
          <w:b/>
          <w:spacing w:val="-3"/>
        </w:rPr>
      </w:pPr>
      <w:r>
        <w:rPr>
          <w:b/>
          <w:spacing w:val="-3"/>
          <w:u w:val="single"/>
        </w:rPr>
        <w:t>ENRON ENERGY SERVICES.</w:t>
      </w:r>
    </w:p>
    <w:p>
      <w:pPr>
        <w:pStyle w:val="Normal"/>
        <w:tabs>
          <w:tab w:val="clear" w:pos="720"/>
          <w:tab w:val="right" w:pos="9360" w:leader="none"/>
        </w:tabs>
        <w:jc w:val="both"/>
        <w:rPr>
          <w:b/>
          <w:spacing w:val="-3"/>
        </w:rPr>
      </w:pPr>
      <w:r>
        <w:rPr>
          <w:b/>
          <w:spacing w:val="-3"/>
        </w:rPr>
      </w:r>
    </w:p>
    <w:p>
      <w:pPr>
        <w:pStyle w:val="Heading1"/>
        <w:suppressAutoHyphens w:val="true"/>
        <w:spacing w:before="0" w:after="0"/>
        <w:ind w:hanging="0" w:start="0"/>
        <w:rPr>
          <w:shadow w:val="false"/>
          <w:spacing w:val="-3"/>
          <w:kern w:val="0"/>
        </w:rPr>
      </w:pPr>
      <w:r>
        <w:rPr>
          <w:shadow w:val="false"/>
          <w:spacing w:val="-3"/>
          <w:kern w:val="0"/>
        </w:rPr>
        <w:t>None</w:t>
      </w:r>
    </w:p>
    <w:p>
      <w:pPr>
        <w:pStyle w:val="Normal"/>
        <w:tabs>
          <w:tab w:val="clear" w:pos="720"/>
          <w:tab w:val="left" w:pos="1440" w:leader="none"/>
          <w:tab w:val="left" w:pos="5760" w:leader="none"/>
        </w:tabs>
        <w:jc w:val="center"/>
        <w:rPr>
          <w:b/>
          <w:shadow/>
          <w:spacing w:val="-3"/>
          <w:kern w:val="0"/>
          <w:u w:val="single"/>
        </w:rPr>
      </w:pPr>
      <w:r>
        <w:rPr>
          <w:b/>
          <w:shadow/>
          <w:spacing w:val="-3"/>
          <w:kern w:val="0"/>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Heading9"/>
        <w:ind w:hanging="0" w:start="0"/>
        <w:rPr>
          <w:b w:val="false"/>
          <w:bCs w:val="false"/>
          <w:shadow w:val="false"/>
          <w:u w:val="single"/>
        </w:rPr>
      </w:pPr>
      <w:r>
        <w:rPr>
          <w:b w:val="false"/>
          <w:bCs w:val="false"/>
          <w:shadow w:val="false"/>
        </w:rPr>
        <w:t>None</w:t>
      </w:r>
    </w:p>
    <w:p>
      <w:pPr>
        <w:pStyle w:val="Heading6"/>
        <w:tabs>
          <w:tab w:val="clear" w:pos="2160"/>
          <w:tab w:val="clear" w:pos="6480"/>
          <w:tab w:val="left" w:pos="1440" w:leader="none"/>
          <w:tab w:val="left" w:pos="5760" w:leader="none"/>
        </w:tabs>
        <w:ind w:hanging="0" w:start="0"/>
        <w:rPr>
          <w:b w:val="false"/>
          <w:bCs/>
          <w:shadow/>
          <w:u w:val="single"/>
        </w:rPr>
      </w:pPr>
      <w:r>
        <w:rPr>
          <w:b w:val="false"/>
          <w:bCs/>
          <w:shadow/>
          <w:u w:val="single"/>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both"/>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[UPDATED]</w:t>
      </w:r>
    </w:p>
    <w:p>
      <w:pPr>
        <w:pStyle w:val="BodyText"/>
        <w:tabs>
          <w:tab w:val="clear" w:pos="9360"/>
        </w:tabs>
        <w:rPr/>
      </w:pPr>
      <w:r>
        <w:rPr/>
        <w:t>(Montana federal court) (Vote) (Steven Lehman, Crowley, Haughey, Hanson, Took &amp; Dietrich, P.L.L.P—local counsel)</w:t>
      </w:r>
    </w:p>
    <w:p>
      <w:pPr>
        <w:pStyle w:val="BodyText"/>
        <w:numPr>
          <w:ilvl w:val="0"/>
          <w:numId w:val="14"/>
        </w:numPr>
        <w:tabs>
          <w:tab w:val="clear" w:pos="9360"/>
        </w:tabs>
        <w:ind w:hanging="360" w:start="360" w:end="0"/>
        <w:rPr/>
      </w:pPr>
      <w:r>
        <w:rPr/>
        <w:t>Plaintiff alleges wrongful termination in retaliation for asserting sexual harassment claim</w:t>
      </w:r>
    </w:p>
    <w:p>
      <w:pPr>
        <w:pStyle w:val="BodyText"/>
        <w:numPr>
          <w:ilvl w:val="0"/>
          <w:numId w:val="14"/>
        </w:numPr>
        <w:tabs>
          <w:tab w:val="clear" w:pos="9360"/>
        </w:tabs>
        <w:ind w:hanging="360" w:start="360" w:end="0"/>
        <w:rPr/>
      </w:pPr>
      <w:r>
        <w:rPr/>
        <w:t>Plaintiff seeks past and future lost wages and benefits, tort damages, and costs and fees</w:t>
      </w:r>
    </w:p>
    <w:p>
      <w:pPr>
        <w:pStyle w:val="BodyText"/>
        <w:numPr>
          <w:ilvl w:val="0"/>
          <w:numId w:val="14"/>
        </w:numPr>
        <w:tabs>
          <w:tab w:val="clear" w:pos="9360"/>
        </w:tabs>
        <w:ind w:hanging="360" w:start="360" w:end="0"/>
        <w:rPr/>
      </w:pPr>
      <w:r>
        <w:rPr/>
        <w:t>Removed to federal court September 18, 2000</w:t>
      </w:r>
    </w:p>
    <w:p>
      <w:pPr>
        <w:pStyle w:val="BodyText"/>
        <w:numPr>
          <w:ilvl w:val="0"/>
          <w:numId w:val="14"/>
        </w:numPr>
        <w:tabs>
          <w:tab w:val="clear" w:pos="9360"/>
        </w:tabs>
        <w:ind w:hanging="360" w:start="360" w:end="0"/>
        <w:rPr/>
      </w:pPr>
      <w:r>
        <w:rPr/>
        <w:t>Answer filed October 9, 2000</w:t>
      </w:r>
    </w:p>
    <w:p>
      <w:pPr>
        <w:pStyle w:val="BodyText"/>
        <w:numPr>
          <w:ilvl w:val="0"/>
          <w:numId w:val="14"/>
        </w:numPr>
        <w:tabs>
          <w:tab w:val="clear" w:pos="9360"/>
        </w:tabs>
        <w:ind w:hanging="360" w:start="360" w:end="0"/>
        <w:rPr/>
      </w:pPr>
      <w:r>
        <w:rPr/>
        <w:t>Discovery ongoing</w:t>
      </w:r>
    </w:p>
    <w:p>
      <w:pPr>
        <w:pStyle w:val="BodyText"/>
        <w:numPr>
          <w:ilvl w:val="0"/>
          <w:numId w:val="14"/>
        </w:numPr>
        <w:tabs>
          <w:tab w:val="clear" w:pos="9360"/>
        </w:tabs>
        <w:ind w:hanging="360" w:start="360" w:end="0"/>
        <w:rPr>
          <w:b/>
          <w:bCs/>
        </w:rPr>
      </w:pPr>
      <w:r>
        <w:rPr>
          <w:b/>
          <w:bCs/>
        </w:rPr>
        <w:t>Preliminary pretrial conference held May 11, 2001; await docket control order</w:t>
      </w:r>
    </w:p>
    <w:p>
      <w:pPr>
        <w:pStyle w:val="Normal"/>
        <w:tabs>
          <w:tab w:val="clear" w:pos="720"/>
          <w:tab w:val="left" w:pos="2160" w:leader="none"/>
          <w:tab w:val="left" w:pos="6480" w:leader="none"/>
        </w:tabs>
        <w:jc w:val="center"/>
        <w:rPr>
          <w:b/>
          <w:bCs/>
          <w:spacing w:val="-3"/>
        </w:rPr>
      </w:pPr>
      <w:r>
        <w:rPr>
          <w:b/>
          <w:bCs/>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[NO UPDATE]</w:t>
      </w:r>
    </w:p>
    <w:p>
      <w:pPr>
        <w:pStyle w:val="Heading7"/>
        <w:ind w:hanging="0" w:start="0"/>
        <w:rPr/>
      </w:pPr>
      <w:r>
        <w:rPr/>
        <w:t>In re Rio Piedras District, San Juan,</w:t>
      </w:r>
      <w:r>
        <w:rPr>
          <w:i w:val="false"/>
        </w:rPr>
        <w:t xml:space="preserve"> Puerto Rico </w:t>
      </w:r>
      <w:r>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8"/>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8"/>
        </w:numPr>
        <w:suppressAutoHyphens w:val="true"/>
        <w:jc w:val="both"/>
        <w:rPr>
          <w:spacing w:val="-3"/>
        </w:rPr>
      </w:pPr>
      <w:r>
        <w:rPr>
          <w:spacing w:val="-3"/>
        </w:rPr>
        <w:t>According to media:  33 fatalities; 80 injured</w:t>
      </w:r>
    </w:p>
    <w:p>
      <w:pPr>
        <w:pStyle w:val="Normal"/>
        <w:numPr>
          <w:ilvl w:val="0"/>
          <w:numId w:val="18"/>
        </w:numPr>
        <w:suppressAutoHyphens w:val="true"/>
        <w:jc w:val="both"/>
        <w:rPr>
          <w:spacing w:val="-3"/>
        </w:rPr>
      </w:pPr>
      <w:r>
        <w:rPr>
          <w:spacing w:val="-3"/>
        </w:rPr>
        <w:t xml:space="preserve">Over 500 suits filed in federal or local court in Puerto Rico on behalf of nearly 1,500 different plaintiffs against Enron Corp., San Juan Gas, and/or their carriers and affiliates; total alleged damages exceed </w:t>
      </w:r>
      <w:r>
        <w:rPr/>
        <w:t>$3.3</w:t>
      </w:r>
      <w:r>
        <w:rPr>
          <w:spacing w:val="-3"/>
        </w:rPr>
        <w:t xml:space="preserve"> billion; “extrajudicial claim” notices received for a number of claimants which may extend the statute of limitations</w:t>
      </w:r>
    </w:p>
    <w:p>
      <w:pPr>
        <w:pStyle w:val="Normal"/>
        <w:numPr>
          <w:ilvl w:val="0"/>
          <w:numId w:val="18"/>
        </w:numPr>
        <w:suppressAutoHyphens w:val="true"/>
        <w:jc w:val="both"/>
        <w:rPr>
          <w:spacing w:val="-3"/>
        </w:rPr>
      </w:pPr>
      <w:r>
        <w:rPr/>
        <w:t>The plaintiffs, Enron defendants and carriers and all other defendants (including PRASA, PRTC, Heath, HV and B&amp;L) and their carriers entered agreements, whereby the consolidated “liability trial” is moot and all proceedings involving such trial, including disputes relative to privileged documents, were resolved; by order entered May 9, 2000, the federal court approved the agreements and authorized payment of individual case settlements to a plaintiff-established escrow account; over 700 individual claims have been resolved for approximately  $64 million (insured)</w:t>
      </w:r>
    </w:p>
    <w:p>
      <w:pPr>
        <w:pStyle w:val="Normal"/>
        <w:numPr>
          <w:ilvl w:val="0"/>
          <w:numId w:val="18"/>
        </w:numPr>
        <w:suppressAutoHyphens w:val="true"/>
        <w:jc w:val="both"/>
        <w:rPr>
          <w:spacing w:val="-3"/>
        </w:rPr>
      </w:pPr>
      <w:r>
        <w:rPr>
          <w:spacing w:val="-3"/>
        </w:rPr>
        <w:t xml:space="preserve">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 </w:t>
      </w:r>
    </w:p>
    <w:p>
      <w:pPr>
        <w:pStyle w:val="Normal"/>
        <w:numPr>
          <w:ilvl w:val="0"/>
          <w:numId w:val="18"/>
        </w:numPr>
        <w:suppressAutoHyphens w:val="true"/>
        <w:jc w:val="both"/>
        <w:rPr>
          <w:spacing w:val="-3"/>
        </w:rPr>
      </w:pPr>
      <w:r>
        <w:rPr/>
        <w:t>By orders entered June 6 and 14, 2000, the federal court dismissed approximately 185 plaintiffs for lack of prosecution; motions for reconsideration and Enron’s opposition thereto filed; await ruling</w:t>
      </w:r>
    </w:p>
    <w:p>
      <w:pPr>
        <w:pStyle w:val="Normal"/>
        <w:numPr>
          <w:ilvl w:val="0"/>
          <w:numId w:val="18"/>
        </w:numPr>
        <w:suppressAutoHyphens w:val="true"/>
        <w:jc w:val="both"/>
        <w:rPr>
          <w:spacing w:val="-3"/>
        </w:rPr>
      </w:pPr>
      <w:r>
        <w:rPr/>
        <w:t>On November 2, 2000, Superior Court approved the agreement among the parties relative to the consolidated “liability trial,” but has otherwise taken no other action on the cases pending there</w:t>
      </w:r>
      <w:r>
        <w:rPr>
          <w:spacing w:val="-3"/>
        </w:rPr>
        <w:t>; the agreed joint press statement was released November 29, 2000; $2.8 million received by San Juan Gas from other defendants toward defraying settlement costs; an additional $3.6 million remains payable</w:t>
      </w:r>
    </w:p>
    <w:p>
      <w:pPr>
        <w:pStyle w:val="Normal"/>
        <w:numPr>
          <w:ilvl w:val="0"/>
          <w:numId w:val="18"/>
        </w:numPr>
        <w:suppressAutoHyphens w:val="true"/>
        <w:jc w:val="both"/>
        <w:rPr/>
      </w:pPr>
      <w:r>
        <w:rPr/>
        <w:t xml:space="preserve">By order entered May 11, 2000, the federal court selected 20 “representative cases” involving 96 involving 96 plaintiffs for trials in the spring of 2001, all of the “representative cases: have been resolved; after seeking nominations of 10 “shock” cases for second round trial, the Court has selected the cases (6 from defendants’ list and 4 from plaintiffs’ list) and by Order entered April 30, 2001, scheduled trials to commence on December 20, 2001, upon 2 trailing dockets; discovery cut-off of June 30, 2001 remains in effect as to all cases; </w:t>
      </w:r>
    </w:p>
    <w:p>
      <w:pPr>
        <w:pStyle w:val="Normal"/>
        <w:numPr>
          <w:ilvl w:val="0"/>
          <w:numId w:val="18"/>
        </w:numPr>
        <w:suppressAutoHyphens w:val="true"/>
        <w:jc w:val="both"/>
        <w:rPr/>
      </w:pPr>
      <w:r>
        <w:rPr/>
        <w:t>Monthly conference cal</w:t>
      </w:r>
      <w:r>
        <w:rPr>
          <w:spacing w:val="-3"/>
        </w:rPr>
        <w:t xml:space="preserve">ls with carrier counsel ongoing; </w:t>
      </w:r>
      <w:r>
        <w:rPr/>
        <w:t xml:space="preserve">last carrier conference call held April 5, 2001; </w:t>
      </w:r>
      <w:r>
        <w:rPr>
          <w:spacing w:val="-3"/>
        </w:rPr>
        <w:t>carriers’ local counsel and Lloyd’s Houston counsel actively participate in individual settlement efforts, including settlement of the “representative cases”</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t>____________________________</w:t>
      </w:r>
    </w:p>
    <w:p>
      <w:pPr>
        <w:pStyle w:val="Normal"/>
        <w:jc w:val="both"/>
        <w:rPr/>
      </w:pPr>
      <w:r>
        <w:rPr/>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3960" w:leader="none"/>
          <w:tab w:val="left" w:pos="5040" w:leader="none"/>
          <w:tab w:val="left" w:pos="7650" w:leader="none"/>
        </w:tabs>
        <w:jc w:val="both"/>
        <w:rPr>
          <w:sz w:val="22"/>
        </w:rPr>
      </w:pPr>
      <w:r>
        <w:rPr>
          <w:sz w:val="22"/>
        </w:rPr>
        <w:tab/>
        <w:t>Ms. Linda Guinn</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Douglas Nichols</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22"/>
        </w:rPr>
      </w:pPr>
      <w:r>
        <w:rPr>
          <w:sz w:val="22"/>
        </w:rPr>
      </w:r>
    </w:p>
    <w:p>
      <w:pPr>
        <w:pStyle w:val="Normal"/>
        <w:tabs>
          <w:tab w:val="left" w:pos="720" w:leader="none"/>
          <w:tab w:val="left" w:pos="5040" w:leader="none"/>
          <w:tab w:val="left" w:pos="7650" w:leader="none"/>
        </w:tabs>
        <w:rPr>
          <w:sz w:val="22"/>
        </w:rPr>
      </w:pPr>
      <w:r>
        <w:rPr>
          <w:sz w:val="22"/>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w:instrText>
      </w:r>
      <w:r>
        <w:rPr>
          <w:sz w:val="16"/>
        </w:rPr>
        <w:fldChar w:fldCharType="separate"/>
      </w:r>
      <w:r>
        <w:rPr>
          <w:sz w:val="16"/>
        </w:rPr>
        <w:t>MJVDWKL2-8b643d2139faa8ba46e4175cc1f4e3b0dc302b6160f84ba1384921445cea5768.DOC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008"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shadow/>
      <w:kern w:val="2"/>
    </w:rPr>
  </w:style>
  <w:style w:type="paragraph" w:styleId="Heading2">
    <w:name w:val="heading 2"/>
    <w:basedOn w:val="Normal"/>
    <w:next w:val="Normal"/>
    <w:qFormat/>
    <w:pPr>
      <w:keepNext w:val="true"/>
      <w:numPr>
        <w:ilvl w:val="1"/>
        <w:numId w:val="1"/>
      </w:numPr>
      <w:spacing w:before="0" w:after="120"/>
      <w:ind w:hanging="720" w:start="720" w:end="0"/>
      <w:outlineLvl w:val="1"/>
    </w:pPr>
    <w:rPr>
      <w:b/>
      <w:shadow/>
    </w:rPr>
  </w:style>
  <w:style w:type="paragraph" w:styleId="Heading3">
    <w:name w:val="heading 3"/>
    <w:basedOn w:val="Normal"/>
    <w:next w:val="Normal"/>
    <w:qFormat/>
    <w:pPr>
      <w:keepNext w:val="true"/>
      <w:numPr>
        <w:ilvl w:val="2"/>
        <w:numId w:val="1"/>
      </w:numPr>
      <w:spacing w:before="240" w:after="60"/>
      <w:outlineLvl w:val="2"/>
    </w:pPr>
    <w:rPr>
      <w:shadow/>
    </w:rPr>
  </w:style>
  <w:style w:type="paragraph" w:styleId="Heading4">
    <w:name w:val="heading 4"/>
    <w:basedOn w:val="Normal"/>
    <w:next w:val="Normal"/>
    <w:qFormat/>
    <w:pPr>
      <w:keepNext w:val="true"/>
      <w:numPr>
        <w:ilvl w:val="3"/>
        <w:numId w:val="1"/>
      </w:numPr>
      <w:spacing w:before="0" w:after="120"/>
      <w:ind w:hanging="1440" w:start="2160" w:end="0"/>
      <w:outlineLvl w:val="3"/>
    </w:pPr>
    <w:rPr>
      <w:b/>
      <w:shadow/>
    </w:rPr>
  </w:style>
  <w:style w:type="paragraph" w:styleId="Heading5">
    <w:name w:val="heading 5"/>
    <w:basedOn w:val="Normal"/>
    <w:next w:val="Normal"/>
    <w:qFormat/>
    <w:pPr>
      <w:numPr>
        <w:ilvl w:val="4"/>
        <w:numId w:val="1"/>
      </w:numPr>
      <w:spacing w:before="0" w:after="120"/>
      <w:ind w:hanging="2160" w:start="3600" w:end="0"/>
      <w:outlineLvl w:val="4"/>
    </w:pPr>
    <w:rPr>
      <w:b/>
      <w:shadow/>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paragraph" w:styleId="Heading8">
    <w:name w:val="heading 8"/>
    <w:basedOn w:val="Normal"/>
    <w:next w:val="Normal"/>
    <w:qFormat/>
    <w:pPr>
      <w:keepNext w:val="true"/>
      <w:numPr>
        <w:ilvl w:val="7"/>
        <w:numId w:val="1"/>
      </w:numPr>
      <w:tabs>
        <w:tab w:val="clear" w:pos="720"/>
        <w:tab w:val="right" w:pos="9360" w:leader="none"/>
      </w:tabs>
      <w:jc w:val="both"/>
      <w:outlineLvl w:val="7"/>
    </w:pPr>
    <w:rPr>
      <w:bCs/>
      <w:i/>
      <w:shadow/>
      <w:spacing w:val="-3"/>
    </w:rPr>
  </w:style>
  <w:style w:type="paragraph" w:styleId="Heading9">
    <w:name w:val="heading 9"/>
    <w:basedOn w:val="Normal"/>
    <w:next w:val="Normal"/>
    <w:qFormat/>
    <w:pPr>
      <w:keepNext w:val="true"/>
      <w:numPr>
        <w:ilvl w:val="8"/>
        <w:numId w:val="1"/>
      </w:numPr>
      <w:tabs>
        <w:tab w:val="clear" w:pos="720"/>
        <w:tab w:val="left" w:pos="1440" w:leader="none"/>
        <w:tab w:val="left" w:pos="5760" w:leader="none"/>
      </w:tabs>
      <w:jc w:val="center"/>
      <w:outlineLvl w:val="8"/>
    </w:pPr>
    <w:rPr>
      <w:b/>
      <w:bCs/>
      <w:shadow/>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pBdr>
        <w:bottom w:val="single" w:sz="6" w:space="1" w:color="000000"/>
      </w:pBdr>
      <w:tabs>
        <w:tab w:val="clear" w:pos="720"/>
        <w:tab w:val="left" w:pos="-1440" w:leader="none"/>
        <w:tab w:val="left" w:pos="-720" w:leader="none"/>
        <w:tab w:val="right" w:pos="9360" w:leader="none"/>
      </w:tabs>
      <w:suppressAutoHyphens w:val="true"/>
      <w:jc w:val="center"/>
    </w:pPr>
    <w:rPr>
      <w:b/>
      <w:spacing w:val="-3"/>
      <w:sz w:val="32"/>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right" w:pos="9360" w:leader="none"/>
      </w:tabs>
      <w:spacing w:before="0" w:after="120"/>
      <w:ind w:hanging="720" w:start="720" w:end="0"/>
    </w:pPr>
    <w:rPr>
      <w:shadow/>
    </w:rPr>
  </w:style>
  <w:style w:type="paragraph" w:styleId="TOC1">
    <w:name w:val="toc 1"/>
    <w:basedOn w:val="Normal"/>
    <w:next w:val="Normal"/>
    <w:pPr>
      <w:tabs>
        <w:tab w:val="clear" w:pos="720"/>
        <w:tab w:val="right" w:pos="9360" w:leader="none"/>
      </w:tabs>
      <w:spacing w:before="0" w:after="120"/>
    </w:pPr>
    <w:rPr>
      <w:caps/>
      <w:shad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9360" w:leader="none"/>
      </w:tabs>
      <w:spacing w:before="0" w:after="120"/>
    </w:pPr>
    <w:rPr>
      <w:shadow/>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rFonts w:cs="Arial"/>
      <w:sz w:val="20"/>
    </w:rPr>
  </w:style>
  <w:style w:type="paragraph" w:styleId="EnvelopeAddress">
    <w:name w:val="envelope address"/>
    <w:basedOn w:val="Normal"/>
    <w:pPr>
      <w:ind w:hanging="0" w:start="2880" w:end="0"/>
    </w:pPr>
    <w:rPr>
      <w:rFonts w:cs="Arial"/>
      <w:szCs w:val="24"/>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paragraph" w:styleId="TOC4">
    <w:name w:val="toc 4"/>
    <w:basedOn w:val="Normal"/>
    <w:next w:val="Normal"/>
    <w:pPr>
      <w:tabs>
        <w:tab w:val="clear" w:pos="720"/>
        <w:tab w:val="right" w:pos="9360" w:leader="none"/>
      </w:tabs>
      <w:spacing w:before="0" w:after="120"/>
      <w:ind w:hanging="1440" w:start="2160" w:end="0"/>
    </w:pPr>
    <w:rPr>
      <w:shadow/>
    </w:rPr>
  </w:style>
  <w:style w:type="paragraph" w:styleId="TOC5">
    <w:name w:val="toc 5"/>
    <w:basedOn w:val="Normal"/>
    <w:next w:val="Normal"/>
    <w:pPr>
      <w:tabs>
        <w:tab w:val="clear" w:pos="720"/>
        <w:tab w:val="right" w:pos="9360" w:leader="none"/>
      </w:tabs>
      <w:spacing w:before="0" w:after="120"/>
      <w:ind w:hanging="2160" w:start="3600" w:end="0"/>
    </w:pPr>
    <w:rPr>
      <w:shadow/>
    </w:rPr>
  </w:style>
  <w:style w:type="paragraph" w:styleId="Style22">
    <w:name w:val="Style2"/>
    <w:basedOn w:val="Normal"/>
    <w:qFormat/>
    <w:pPr>
      <w:tabs>
        <w:tab w:val="clear" w:pos="720"/>
        <w:tab w:val="left" w:pos="-720" w:leader="none"/>
      </w:tabs>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2000-12-15T17:43:00Z</dcterms:created>
  <dc:creator>Enron</dc:creator>
  <dc:description/>
  <dc:language>en-CA</dc:language>
  <cp:lastModifiedBy>garnold</cp:lastModifiedBy>
  <cp:lastPrinted>2001-05-18T16:28:00Z</cp:lastPrinted>
  <dcterms:modified xsi:type="dcterms:W3CDTF">2001-05-18T19:32:00Z</dcterms:modified>
  <cp:revision>101</cp:revision>
  <dc:subject>Weekly Report-Major Litigation/Claims</dc:subject>
  <dc:title>Memo to James V. Derrick, Jr.</dc:title>
</cp:coreProperties>
</file>