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spacing w:val="-3"/>
        </w:rPr>
      </w:pPr>
      <w:r>
        <w:rPr>
          <w:b/>
          <w:spacing w:val="-5"/>
          <w:sz w:val="40"/>
        </w:rPr>
        <w:t>ENRON</w:t>
      </w:r>
      <w:r>
        <w:rPr>
          <w:b/>
          <w:spacing w:val="-3"/>
        </w:rPr>
        <w:t xml:space="preserve"> LITIGATION UNIT</w:t>
        <w:tab/>
      </w:r>
      <w:r>
        <w:rPr>
          <w:b/>
          <w:spacing w:val="-3"/>
          <w:sz w:val="32"/>
        </w:rPr>
        <w:t>VIA CC:MAIL</w:t>
      </w:r>
    </w:p>
    <w:p>
      <w:pPr>
        <w:pStyle w:val="Normal"/>
        <w:jc w:val="both"/>
        <w:rPr>
          <w:b/>
          <w:spacing w:val="-3"/>
        </w:rPr>
      </w:pPr>
      <w:r>
        <w:rPr>
          <w:b/>
          <w:spacing w:val="-3"/>
        </w:rPr>
      </w:r>
    </w:p>
    <w:p>
      <w:pPr>
        <w:pStyle w:val="Normal"/>
        <w:jc w:val="center"/>
        <w:rPr>
          <w:spacing w:val="-3"/>
        </w:rPr>
      </w:pPr>
      <w:r>
        <w:rPr>
          <w:b/>
          <w:spacing w:val="-3"/>
          <w:u w:val="single"/>
        </w:rPr>
        <w:t>M E M O R A N D U M</w:t>
      </w:r>
    </w:p>
    <w:p>
      <w:pPr>
        <w:pStyle w:val="Normal"/>
        <w:jc w:val="both"/>
        <w:rPr>
          <w:spacing w:val="-3"/>
        </w:rPr>
      </w:pPr>
      <w:r>
        <w:rPr>
          <w:spacing w:val="-3"/>
        </w:rPr>
      </w:r>
    </w:p>
    <w:p>
      <w:pPr>
        <w:pStyle w:val="Normal"/>
        <w:tabs>
          <w:tab w:val="clear" w:pos="720"/>
          <w:tab w:val="left" w:pos="1440" w:leader="none"/>
          <w:tab w:val="right" w:pos="9360" w:leader="none"/>
        </w:tabs>
        <w:rPr>
          <w:spacing w:val="-3"/>
        </w:rPr>
      </w:pPr>
      <w:r>
        <w:rPr>
          <w:spacing w:val="-3"/>
        </w:rPr>
        <w:t>TO:</w:t>
        <w:tab/>
        <w:t xml:space="preserve">Mr. James V. Derrick, Jr. </w:t>
        <w:tab/>
      </w:r>
      <w:r>
        <w:rPr>
          <w:b/>
          <w:spacing w:val="-3"/>
          <w:u w:val="single"/>
        </w:rPr>
        <w:t>CONFIDENTIAL</w:t>
      </w:r>
    </w:p>
    <w:p>
      <w:pPr>
        <w:pStyle w:val="Normal"/>
        <w:tabs>
          <w:tab w:val="clear" w:pos="720"/>
          <w:tab w:val="left" w:pos="1440" w:leader="none"/>
        </w:tabs>
        <w:rPr>
          <w:spacing w:val="-3"/>
        </w:rPr>
      </w:pPr>
      <w:r>
        <w:rPr>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RE:</w:t>
        <w:tab/>
      </w:r>
      <w:r>
        <w:rPr>
          <w:b/>
          <w:spacing w:val="-3"/>
        </w:rPr>
        <w:t>Weekly Report--Major Litigation/Claims</w:t>
      </w:r>
      <w:r>
        <w:rPr>
          <w:rStyle w:val="FootnoteCharacters"/>
          <w:rStyle w:val="FootnoteReference"/>
          <w:b/>
          <w:spacing w:val="-5"/>
        </w:rPr>
        <w:footnoteReference w:customMarkFollows="1" w:id="2"/>
        <w:t>*</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spacing w:val="-3"/>
        </w:rPr>
      </w:pPr>
      <w:r>
        <w:rPr>
          <w:spacing w:val="-3"/>
        </w:rPr>
        <w:t>_______________________________________________________________________________</w:t>
      </w:r>
    </w:p>
    <w:p>
      <w:pPr>
        <w:pStyle w:val="Normal"/>
        <w:jc w:val="center"/>
        <w:rPr>
          <w:b/>
          <w:spacing w:val="-3"/>
          <w:u w:val="single"/>
        </w:rPr>
      </w:pPr>
      <w:r>
        <w:rPr>
          <w:b/>
          <w:spacing w:val="-3"/>
          <w:u w:val="single"/>
        </w:rPr>
      </w:r>
    </w:p>
    <w:p>
      <w:pPr>
        <w:pStyle w:val="Normal"/>
        <w:jc w:val="center"/>
        <w:rPr>
          <w:b/>
          <w:spacing w:val="-3"/>
          <w:u w:val="single"/>
        </w:rPr>
      </w:pPr>
      <w:r>
        <w:rPr>
          <w:b/>
          <w:spacing w:val="-3"/>
          <w:u w:val="single"/>
        </w:rPr>
      </w:r>
    </w:p>
    <w:p>
      <w:pPr>
        <w:pStyle w:val="Normal"/>
        <w:jc w:val="center"/>
        <w:rPr>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Commonwealth Edison Co. v. Kinder Morgan G.P., Inc., f/k/a Enron Liquids</w:t>
        <w:tab/>
        <w:t>[UPDATED]</w:t>
      </w:r>
    </w:p>
    <w:p>
      <w:pPr>
        <w:pStyle w:val="BodyText"/>
        <w:tabs>
          <w:tab w:val="clear" w:pos="9360"/>
        </w:tabs>
        <w:rPr>
          <w:b/>
          <w:bCs/>
          <w:i/>
          <w:i/>
          <w:iCs/>
        </w:rPr>
      </w:pPr>
      <w:r>
        <w:rPr>
          <w:b/>
          <w:bCs/>
          <w:i/>
          <w:iCs/>
        </w:rPr>
        <w:t>Pipline Company, L.P. and Hydrocarbon Transportation, Inc., et al.</w:t>
      </w:r>
    </w:p>
    <w:p>
      <w:pPr>
        <w:pStyle w:val="BodyText"/>
        <w:tabs>
          <w:tab w:val="clear" w:pos="9360"/>
        </w:tabs>
        <w:rPr/>
      </w:pPr>
      <w:r>
        <w:rPr/>
        <w:t>(Chicago, Illinois—state court) (Vote) (Mark Brand, Brand &amp; Novak—local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Removed to federal court August 10, 2000; answer filed August 30, 2000</w:t>
      </w:r>
    </w:p>
    <w:p>
      <w:pPr>
        <w:pStyle w:val="BodyText"/>
        <w:numPr>
          <w:ilvl w:val="0"/>
          <w:numId w:val="15"/>
        </w:numPr>
        <w:tabs>
          <w:tab w:val="clear" w:pos="9360"/>
        </w:tabs>
        <w:ind w:hanging="360" w:start="360" w:end="0"/>
        <w:rPr/>
      </w:pPr>
      <w:r>
        <w:rPr/>
        <w:t>Remanded to state court September 18, 2000, by Kinder-Morgan motion</w:t>
      </w:r>
    </w:p>
    <w:p>
      <w:pPr>
        <w:pStyle w:val="BodyText"/>
        <w:numPr>
          <w:ilvl w:val="0"/>
          <w:numId w:val="15"/>
        </w:numPr>
        <w:tabs>
          <w:tab w:val="clear" w:pos="9360"/>
        </w:tabs>
        <w:ind w:hanging="360" w:start="360" w:end="0"/>
        <w:rPr/>
      </w:pPr>
      <w:r>
        <w:rPr/>
        <w:t xml:space="preserve">Case management hearing </w:t>
      </w:r>
      <w:r>
        <w:rPr>
          <w:b/>
          <w:bCs/>
        </w:rPr>
        <w:t xml:space="preserve">held </w:t>
      </w:r>
      <w:r>
        <w:rPr/>
        <w:t>November 3, 2000</w:t>
      </w:r>
    </w:p>
    <w:p>
      <w:pPr>
        <w:pStyle w:val="BodyText"/>
        <w:numPr>
          <w:ilvl w:val="0"/>
          <w:numId w:val="15"/>
        </w:numPr>
        <w:tabs>
          <w:tab w:val="clear" w:pos="9360"/>
        </w:tabs>
        <w:ind w:hanging="360" w:start="360" w:end="0"/>
        <w:rPr/>
      </w:pPr>
      <w:r>
        <w:rPr>
          <w:b/>
          <w:bCs/>
        </w:rPr>
        <w:t>Deadline for document exchange December 15, 2000</w:t>
      </w:r>
    </w:p>
    <w:p>
      <w:pPr>
        <w:pStyle w:val="BodyText"/>
        <w:numPr>
          <w:ilvl w:val="0"/>
          <w:numId w:val="15"/>
        </w:numPr>
        <w:tabs>
          <w:tab w:val="clear" w:pos="9360"/>
        </w:tabs>
        <w:ind w:hanging="360" w:start="360" w:end="0"/>
        <w:rPr/>
      </w:pPr>
      <w:r>
        <w:rPr>
          <w:b/>
          <w:bCs/>
        </w:rPr>
        <w:t>Status conference on discovery and possible pretrial status January 5, 2001</w:t>
      </w:r>
    </w:p>
    <w:p>
      <w:pPr>
        <w:pStyle w:val="Normal"/>
        <w:jc w:val="center"/>
        <w:rPr>
          <w:spacing w:val="-3"/>
        </w:rPr>
      </w:pPr>
      <w:r>
        <w:rPr>
          <w:spacing w:val="-3"/>
        </w:rPr>
      </w:r>
    </w:p>
    <w:p>
      <w:pPr>
        <w:pStyle w:val="Normal"/>
        <w:jc w:val="center"/>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w:t>
      </w:r>
      <w:r>
        <w:rPr>
          <w:b/>
          <w:bCs/>
        </w:rPr>
        <w:t>Grant Harvey, Gibbs &amp; Bruns—</w:t>
      </w:r>
      <w:r>
        <w:rPr/>
        <w:t>local counsel)</w:t>
      </w:r>
    </w:p>
    <w:p>
      <w:pPr>
        <w:pStyle w:val="BodyText"/>
        <w:numPr>
          <w:ilvl w:val="0"/>
          <w:numId w:val="15"/>
        </w:numPr>
        <w:tabs>
          <w:tab w:val="clear" w:pos="9360"/>
        </w:tabs>
        <w:ind w:hanging="360" w:start="360" w:end="0"/>
        <w:rPr/>
      </w:pPr>
      <w:r>
        <w:rPr>
          <w:color w:val="000000"/>
        </w:rPr>
        <w:t>Exxon Mobil allege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On October 16, 2000, the parties entered Rule 11 Agreement for an additional 30 days to answer and authorize Gibbs &amp; Bruns to accept service on behalf of Enron Helium Co., a division of Enron Corp., whose answer date would be November 15, 2000</w:t>
      </w:r>
    </w:p>
    <w:p>
      <w:pPr>
        <w:pStyle w:val="Normal"/>
        <w:jc w:val="both"/>
        <w:rPr>
          <w:spacing w:val="-3"/>
        </w:rPr>
      </w:pPr>
      <w:r>
        <w:rPr>
          <w:spacing w:val="-3"/>
        </w:rPr>
      </w:r>
      <w:r>
        <w:br w:type="page"/>
      </w:r>
    </w:p>
    <w:p>
      <w:pPr>
        <w:pStyle w:val="Normal"/>
        <w:jc w:val="both"/>
        <w:rPr>
          <w:spacing w:val="-3"/>
        </w:rPr>
      </w:pPr>
      <w:r>
        <w:rPr>
          <w:spacing w:val="-3"/>
        </w:rPr>
      </w:r>
    </w:p>
    <w:p>
      <w:pPr>
        <w:pStyle w:val="Normal"/>
        <w:jc w:val="center"/>
        <w:rPr>
          <w:b/>
          <w:spacing w:val="-3"/>
          <w:u w:val="single"/>
        </w:rPr>
      </w:pPr>
      <w:r>
        <w:rPr>
          <w:b/>
          <w:spacing w:val="-3"/>
          <w:u w:val="single"/>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1"/>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1"/>
        </w:numPr>
        <w:tabs>
          <w:tab w:val="clear" w:pos="9360"/>
        </w:tabs>
        <w:rPr>
          <w:b/>
          <w:bCs/>
        </w:rPr>
      </w:pPr>
      <w:r>
        <w:rPr/>
        <w:t>Notice of Dismissal filed by UM&amp;E on February 28, 2000, reserving right to refile if settlement not reached</w:t>
      </w:r>
    </w:p>
    <w:p>
      <w:pPr>
        <w:pStyle w:val="BodyText"/>
        <w:numPr>
          <w:ilvl w:val="0"/>
          <w:numId w:val="11"/>
        </w:numPr>
        <w:tabs>
          <w:tab w:val="clear" w:pos="9360"/>
        </w:tabs>
        <w:rPr/>
      </w:pPr>
      <w:r>
        <w:rPr/>
        <w:t>Settlement proposals exchanged</w:t>
      </w:r>
    </w:p>
    <w:p>
      <w:pPr>
        <w:pStyle w:val="BodyText"/>
        <w:tabs>
          <w:tab w:val="clear" w:pos="9360"/>
        </w:tabs>
        <w:rPr/>
      </w:pPr>
      <w:r>
        <w:rPr/>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Elkins—local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tabs>
          <w:tab w:val="clear" w:pos="9360"/>
        </w:tabs>
        <w:rPr/>
      </w:pPr>
      <w:r>
        <w:rPr/>
      </w:r>
    </w:p>
    <w:p>
      <w:pPr>
        <w:pStyle w:val="BodyText"/>
        <w:tabs>
          <w:tab w:val="clear" w:pos="9360"/>
        </w:tabs>
        <w:rPr/>
      </w:pPr>
      <w:r>
        <w:rPr/>
      </w:r>
    </w:p>
    <w:p>
      <w:pPr>
        <w:pStyle w:val="Normal"/>
        <w:jc w:val="center"/>
        <w:rPr/>
      </w:pPr>
      <w:r>
        <w:rPr>
          <w:b/>
          <w:spacing w:val="-3"/>
        </w:rPr>
        <w:t>“</w:t>
      </w:r>
      <w:r>
        <w:rPr>
          <w:b/>
          <w:spacing w:val="-3"/>
          <w:u w:val="single"/>
        </w:rPr>
        <w:t>ECT</w:t>
      </w:r>
      <w:r>
        <w:rPr>
          <w:b/>
          <w:spacing w:val="-3"/>
        </w:rPr>
        <w:t>”</w:t>
      </w:r>
    </w:p>
    <w:p>
      <w:pPr>
        <w:pStyle w:val="Normal"/>
        <w:jc w:val="both"/>
        <w:rPr>
          <w:b/>
          <w:spacing w:val="-3"/>
        </w:rPr>
      </w:pPr>
      <w:r>
        <w:rPr>
          <w:b/>
          <w:spacing w:val="-3"/>
        </w:rPr>
      </w:r>
    </w:p>
    <w:p>
      <w:pPr>
        <w:pStyle w:val="Heading7"/>
        <w:ind w:hanging="0" w:start="0"/>
        <w:rPr/>
      </w:pPr>
      <w:r>
        <w:rPr/>
        <w:t>Berry Group, Inc., et al. v. Enron North America Corp.</w:t>
        <w:tab/>
        <w:t>[NO UPDATE]</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unspecified actual damages,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J. Kevin McConville, former ENA vice-president, has been subpoenaed to appear for his deposition on November 9, 2000; we understand that McConville’s lawyer is seeking postponement</w:t>
      </w:r>
    </w:p>
    <w:p>
      <w:pPr>
        <w:pStyle w:val="Normal"/>
        <w:jc w:val="both"/>
        <w:rPr>
          <w:bCs/>
          <w:spacing w:val="-3"/>
        </w:rPr>
      </w:pPr>
      <w:r>
        <w:rPr>
          <w:bCs/>
          <w:spacing w:val="-3"/>
        </w:rPr>
      </w:r>
    </w:p>
    <w:p>
      <w:pPr>
        <w:pStyle w:val="Normal"/>
        <w:jc w:val="both"/>
        <w:rPr>
          <w:spacing w:val="-3"/>
        </w:rPr>
      </w:pPr>
      <w:r>
        <w:rPr>
          <w:spacing w:val="-3"/>
        </w:rPr>
      </w:r>
    </w:p>
    <w:p>
      <w:pPr>
        <w:pStyle w:val="Normal"/>
        <w:tabs>
          <w:tab w:val="clear" w:pos="720"/>
          <w:tab w:val="right" w:pos="9360" w:leader="none"/>
        </w:tabs>
        <w:jc w:val="both"/>
        <w:rPr>
          <w:b/>
          <w:i/>
          <w:i/>
          <w:spacing w:val="-3"/>
        </w:rPr>
      </w:pPr>
      <w:r>
        <w:rPr>
          <w:b/>
          <w:i/>
          <w:spacing w:val="-3"/>
        </w:rPr>
        <w:t>Destec Properties v. Freestone County Central Appraisal District</w:t>
        <w:tab/>
        <w:t>[NO UPDATE]</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i/>
          <w:i/>
          <w:spacing w:val="-3"/>
        </w:rPr>
      </w:pPr>
      <w:r>
        <w:rPr>
          <w:b/>
          <w:i/>
          <w:spacing w:val="-3"/>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b/>
          <w:spacing w:val="-3"/>
        </w:rPr>
      </w:pPr>
      <w:r>
        <w:rPr>
          <w:b/>
          <w:spacing w:val="-3"/>
        </w:rPr>
      </w:r>
    </w:p>
    <w:p>
      <w:pPr>
        <w:pStyle w:val="Heading7"/>
        <w:ind w:hanging="0" w:start="0"/>
        <w:rPr/>
      </w:pPr>
      <w:r>
        <w:rPr/>
        <w:t>In re ENA Claim Against Triad</w:t>
        <w:tab/>
        <w:t>[NO UPDATE]</w:t>
      </w:r>
    </w:p>
    <w:p>
      <w:pPr>
        <w:pStyle w:val="BodyText"/>
        <w:rPr>
          <w:bCs/>
        </w:rPr>
      </w:pPr>
      <w:r>
        <w:rPr>
          <w:bCs/>
        </w:rPr>
        <w:t>(not yet filed) (Davis)</w:t>
      </w:r>
    </w:p>
    <w:p>
      <w:pPr>
        <w:pStyle w:val="Normal"/>
        <w:numPr>
          <w:ilvl w:val="0"/>
          <w:numId w:val="3"/>
        </w:numPr>
        <w:tabs>
          <w:tab w:val="clear" w:pos="720"/>
        </w:tabs>
        <w:ind w:hanging="360" w:start="360" w:end="0"/>
        <w:jc w:val="both"/>
        <w:rPr>
          <w:bCs/>
          <w:spacing w:val="-3"/>
        </w:rPr>
      </w:pPr>
      <w:r>
        <w:rPr>
          <w:bCs/>
          <w:spacing w:val="-3"/>
        </w:rPr>
        <w:t>The Unit is investigating arbitration against Triad to collect approximately $1,800,000 in due and unpaid spot gas sales charges</w:t>
      </w:r>
    </w:p>
    <w:p>
      <w:pPr>
        <w:pStyle w:val="Normal"/>
        <w:tabs>
          <w:tab w:val="clear" w:pos="720"/>
          <w:tab w:val="right" w:pos="9360" w:leader="none"/>
        </w:tabs>
        <w:jc w:val="both"/>
        <w:rPr>
          <w:b/>
          <w:bCs/>
          <w:spacing w:val="-3"/>
        </w:rPr>
      </w:pPr>
      <w:r>
        <w:rPr>
          <w:b/>
          <w:bCs/>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Havmann</w:t>
        <w:tab/>
        <w:t>[UPDATED]</w:t>
      </w:r>
    </w:p>
    <w:p>
      <w:pPr>
        <w:pStyle w:val="BodyText"/>
        <w:rPr/>
      </w:pPr>
      <w:r>
        <w:rPr/>
        <w:t>(Arbitration-London) (Davis) (David Best, Clyde &amp; Co., London—local counsel)</w:t>
      </w:r>
    </w:p>
    <w:p>
      <w:pPr>
        <w:pStyle w:val="Normal"/>
        <w:numPr>
          <w:ilvl w:val="0"/>
          <w:numId w:val="3"/>
        </w:numPr>
        <w:tabs>
          <w:tab w:val="clear" w:pos="720"/>
        </w:tabs>
        <w:ind w:hanging="360" w:start="360" w:end="0"/>
        <w:jc w:val="both"/>
        <w:rPr>
          <w:spacing w:val="-3"/>
        </w:rPr>
      </w:pPr>
      <w:r>
        <w:rPr>
          <w:spacing w:val="-3"/>
        </w:rPr>
        <w:t>ELFI seeks recovery from its charter’s liability underwriters for settlement of approximately $590,000 paid to ship owners for cleaning ship of contaminated LPG</w:t>
      </w:r>
    </w:p>
    <w:p>
      <w:pPr>
        <w:pStyle w:val="Normal"/>
        <w:numPr>
          <w:ilvl w:val="0"/>
          <w:numId w:val="3"/>
        </w:numPr>
        <w:tabs>
          <w:tab w:val="clear" w:pos="720"/>
        </w:tabs>
        <w:ind w:hanging="360" w:start="360" w:end="0"/>
        <w:jc w:val="both"/>
        <w:rPr>
          <w:spacing w:val="-3"/>
        </w:rPr>
      </w:pPr>
      <w:r>
        <w:rPr>
          <w:spacing w:val="-3"/>
        </w:rPr>
        <w:t>Arbitration scheduled for December 1-8, 2000</w:t>
      </w:r>
    </w:p>
    <w:p>
      <w:pPr>
        <w:pStyle w:val="Normal"/>
        <w:numPr>
          <w:ilvl w:val="0"/>
          <w:numId w:val="3"/>
        </w:numPr>
        <w:tabs>
          <w:tab w:val="clear" w:pos="720"/>
        </w:tabs>
        <w:ind w:hanging="360" w:start="360" w:end="0"/>
        <w:jc w:val="both"/>
        <w:rPr>
          <w:spacing w:val="-3"/>
        </w:rPr>
      </w:pPr>
      <w:r>
        <w:rPr>
          <w:b/>
          <w:bCs/>
          <w:spacing w:val="-3"/>
        </w:rPr>
        <w:t>Expert reports exchanged; supplementary reports due November 17, 2000</w:t>
      </w:r>
    </w:p>
    <w:p>
      <w:pPr>
        <w:pStyle w:val="Normal"/>
        <w:tabs>
          <w:tab w:val="clear" w:pos="720"/>
          <w:tab w:val="right" w:pos="9360" w:leader="none"/>
        </w:tabs>
        <w:ind w:hanging="540" w:start="540" w:end="0"/>
        <w:jc w:val="both"/>
        <w:rPr>
          <w:b/>
          <w:spacing w:val="-3"/>
        </w:rPr>
      </w:pPr>
      <w:r>
        <w:rPr>
          <w:b/>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Infineum USA L.P. v Cogen Technologies Linden Venture, L.P.</w:t>
        <w:tab/>
        <w:t>[NO UPDATE]</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Cs/>
          <w:spacing w:val="-3"/>
        </w:rPr>
      </w:pPr>
      <w:r>
        <w:rPr>
          <w:bCs/>
          <w:spacing w:val="-3"/>
        </w:rPr>
        <w:t>Interrogatories and requests for production were exchanged by the parties on October 10, 2000; responses exchanged October 30, 2000; limited deposition discovery on issue of whether Infineum considered Cogen’s competitor for antitrust purposes expected within next 45 days</w:t>
      </w:r>
    </w:p>
    <w:p>
      <w:pPr>
        <w:pStyle w:val="Normal"/>
        <w:tabs>
          <w:tab w:val="clear" w:pos="720"/>
          <w:tab w:val="right" w:pos="9360" w:leader="none"/>
        </w:tabs>
        <w:ind w:hanging="540" w:start="540" w:end="0"/>
        <w:jc w:val="both"/>
        <w:rPr>
          <w:b/>
          <w:bCs/>
          <w:spacing w:val="-3"/>
        </w:rPr>
      </w:pPr>
      <w:r>
        <w:rPr>
          <w:b/>
          <w:bCs/>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Interfert, S.A. v. EGLI and EGLE</w:t>
        <w:tab/>
        <w:t>[NO UPDATE]</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b/>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b/>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b/>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b/>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b/>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b/>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w:t>
      </w:r>
    </w:p>
    <w:p>
      <w:pPr>
        <w:pStyle w:val="Normal"/>
        <w:numPr>
          <w:ilvl w:val="0"/>
          <w:numId w:val="19"/>
        </w:numPr>
        <w:tabs>
          <w:tab w:val="clear" w:pos="720"/>
          <w:tab w:val="right" w:pos="9360" w:leader="none"/>
        </w:tabs>
        <w:jc w:val="both"/>
        <w:rPr>
          <w:spacing w:val="-3"/>
        </w:rPr>
      </w:pPr>
      <w:r>
        <w:rPr>
          <w:spacing w:val="-3"/>
        </w:rPr>
        <w:t>Court appointed expert’s final report due in early November</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PACIFIC VIRGO</w:t>
        <w:tab/>
        <w:t>[UPDATED]</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Mitsubishi (time-charterer of M/V PACIFIC VIRGO) claims $760,000 in freight and demurrage for transportation of Elang Crude from Indonesia to Thailand and Philippines</w:t>
      </w:r>
    </w:p>
    <w:p>
      <w:pPr>
        <w:pStyle w:val="Normal"/>
        <w:numPr>
          <w:ilvl w:val="0"/>
          <w:numId w:val="16"/>
        </w:numPr>
        <w:tabs>
          <w:tab w:val="clear" w:pos="720"/>
        </w:tabs>
        <w:ind w:hanging="360" w:start="360" w:end="0"/>
        <w:jc w:val="both"/>
        <w:rPr>
          <w:spacing w:val="-3"/>
        </w:rPr>
      </w:pPr>
      <w:r>
        <w:rPr>
          <w:spacing w:val="-3"/>
        </w:rPr>
        <w:t>ECT denies liability, based on contamination of cargo aboard ship, and claims damages of not less than $</w:t>
      </w:r>
      <w:r>
        <w:rPr>
          <w:b/>
          <w:bCs/>
          <w:spacing w:val="-3"/>
        </w:rPr>
        <w:t>2,523,000, net including interest</w:t>
      </w:r>
    </w:p>
    <w:p>
      <w:pPr>
        <w:pStyle w:val="Normal"/>
        <w:numPr>
          <w:ilvl w:val="0"/>
          <w:numId w:val="16"/>
        </w:numPr>
        <w:tabs>
          <w:tab w:val="clear" w:pos="720"/>
        </w:tabs>
        <w:ind w:hanging="360" w:start="360" w:end="0"/>
        <w:jc w:val="both"/>
        <w:rPr>
          <w:spacing w:val="-3"/>
        </w:rPr>
      </w:pPr>
      <w:r>
        <w:rPr>
          <w:spacing w:val="-3"/>
        </w:rPr>
        <w:t>On October 13, 2000, Mitsubishi sent notice of arbitration and list of acceptable arbitrator</w:t>
      </w:r>
    </w:p>
    <w:p>
      <w:pPr>
        <w:pStyle w:val="Normal"/>
        <w:numPr>
          <w:ilvl w:val="0"/>
          <w:numId w:val="16"/>
        </w:numPr>
        <w:tabs>
          <w:tab w:val="clear" w:pos="720"/>
        </w:tabs>
        <w:ind w:hanging="360" w:start="360" w:end="0"/>
        <w:jc w:val="both"/>
        <w:rPr>
          <w:spacing w:val="-3"/>
        </w:rPr>
      </w:pPr>
      <w:r>
        <w:rPr>
          <w:b/>
          <w:bCs/>
          <w:spacing w:val="-3"/>
        </w:rPr>
        <w:t>ECT and Mitsubishi discussing acceptable arbitrator</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Normal"/>
        <w:suppressAutoHyphens w:val="true"/>
        <w:jc w:val="center"/>
        <w:rPr>
          <w:spacing w:val="-3"/>
        </w:rPr>
      </w:pPr>
      <w:r>
        <w:rPr>
          <w:b/>
          <w:spacing w:val="-3"/>
        </w:rPr>
        <w:t>“</w:t>
      </w:r>
      <w:r>
        <w:rPr>
          <w:b/>
          <w:spacing w:val="-3"/>
          <w:u w:val="single"/>
        </w:rPr>
        <w:t>ENRON INTERNATIONAL</w:t>
      </w:r>
      <w:r>
        <w:rPr>
          <w:b/>
          <w:spacing w:val="-3"/>
        </w:rPr>
        <w:t>”</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Normal"/>
        <w:keepNext w:val="true"/>
        <w:tabs>
          <w:tab w:val="clear" w:pos="720"/>
          <w:tab w:val="right" w:pos="9360" w:leader="none"/>
        </w:tabs>
        <w:suppressAutoHyphens w:val="true"/>
        <w:jc w:val="both"/>
        <w:rPr>
          <w:i/>
          <w:i/>
        </w:rPr>
      </w:pPr>
      <w:r>
        <w:rPr>
          <w:b/>
          <w:i/>
        </w:rPr>
        <w:t>Haad, et al. v. William Danilo Rodriguez and Vengas de Caracas, S.A.</w:t>
      </w:r>
      <w:r>
        <w:rPr>
          <w:i/>
        </w:rPr>
        <w:tab/>
      </w:r>
      <w:r>
        <w:rPr>
          <w:b/>
          <w:i/>
        </w:rPr>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Thourney, Rodolfo Gonzales Cabrices and Carlos Gonzales Tabata—outside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in principle, reached for approximately $200,000 USD; settlement documents circulating</w:t>
      </w:r>
    </w:p>
    <w:p>
      <w:pPr>
        <w:pStyle w:val="Header"/>
        <w:tabs>
          <w:tab w:val="clear" w:pos="4320"/>
          <w:tab w:val="clear" w:pos="8640"/>
          <w:tab w:val="right" w:pos="9360" w:leader="none"/>
        </w:tabs>
        <w:jc w:val="both"/>
        <w:rPr>
          <w:i/>
          <w:i/>
          <w:iCs/>
          <w:spacing w:val="-3"/>
        </w:rPr>
      </w:pPr>
      <w:r>
        <w:rPr>
          <w:i/>
          <w:iCs/>
          <w:spacing w:val="-3"/>
        </w:rPr>
      </w:r>
    </w:p>
    <w:p>
      <w:pPr>
        <w:pStyle w:val="Header"/>
        <w:tabs>
          <w:tab w:val="clear" w:pos="4320"/>
          <w:tab w:val="clear" w:pos="8640"/>
          <w:tab w:val="right" w:pos="9360" w:leader="none"/>
        </w:tabs>
        <w:jc w:val="both"/>
        <w:rPr>
          <w:i/>
          <w:i/>
          <w:iCs/>
        </w:rPr>
      </w:pPr>
      <w:r>
        <w:rPr>
          <w:i/>
          <w:iCs/>
        </w:rPr>
      </w:r>
    </w:p>
    <w:p>
      <w:pPr>
        <w:pStyle w:val="Normal"/>
        <w:widowControl w:val="false"/>
        <w:tabs>
          <w:tab w:val="clear" w:pos="720"/>
          <w:tab w:val="right" w:pos="9360" w:leader="none"/>
        </w:tabs>
        <w:suppressAutoHyphens w:val="true"/>
        <w:jc w:val="both"/>
        <w:rPr>
          <w:b/>
          <w:i/>
          <w:i/>
        </w:rPr>
      </w:pPr>
      <w:r>
        <w:rPr>
          <w:b/>
          <w:i/>
        </w:rPr>
        <w:t>Transredes Pipeline Rupture</w:t>
        <w:tab/>
        <w:t>[NO UPDATE]</w:t>
      </w:r>
    </w:p>
    <w:p>
      <w:pPr>
        <w:pStyle w:val="BodyText"/>
        <w:widowControl w:val="false"/>
        <w:suppressAutoHyphens w:val="true"/>
        <w:rPr>
          <w:spacing w:val="0"/>
        </w:rPr>
      </w:pPr>
      <w:r>
        <w:rPr>
          <w:spacing w:val="0"/>
        </w:rPr>
        <w:t>(Desaguadero River, Bolivia) (Kisluk) (David Brown, Vinson &amp; Elkins, Gonzalo Peres Arenas, of Denton Wilde Sapte, Toher and Mark Glasser of Porter &amp; Hedges—outside counsel)</w:t>
      </w:r>
    </w:p>
    <w:p>
      <w:pPr>
        <w:pStyle w:val="Header"/>
        <w:numPr>
          <w:ilvl w:val="0"/>
          <w:numId w:val="12"/>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2"/>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2"/>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CAN, the reinsurer, initiated legal action in English courts against LaBoliviana Ciacruz, the primary carrier, seeking to void the reinsurance contracts</w:t>
      </w:r>
    </w:p>
    <w:p>
      <w:pPr>
        <w:pStyle w:val="Header"/>
        <w:numPr>
          <w:ilvl w:val="0"/>
          <w:numId w:val="12"/>
        </w:numPr>
        <w:tabs>
          <w:tab w:val="clear" w:pos="4320"/>
          <w:tab w:val="clear" w:pos="8640"/>
        </w:tabs>
        <w:jc w:val="both"/>
        <w:rPr/>
      </w:pPr>
      <w:r>
        <w:rPr/>
        <w:t>Cleanup efforts continue</w:t>
      </w:r>
    </w:p>
    <w:p>
      <w:pPr>
        <w:pStyle w:val="Header"/>
        <w:numPr>
          <w:ilvl w:val="0"/>
          <w:numId w:val="12"/>
        </w:numPr>
        <w:tabs>
          <w:tab w:val="clear" w:pos="4320"/>
          <w:tab w:val="clear" w:pos="8640"/>
        </w:tabs>
        <w:jc w:val="both"/>
        <w:rPr/>
      </w:pPr>
      <w:r>
        <w:rPr/>
        <w:t>Committee established and teams deployed to respond to needs and concerns of affected communities; approximately 130 communities have signed agreements toward receiving in kind assistance for alleged damages attributable to the spill</w:t>
      </w:r>
    </w:p>
    <w:p>
      <w:pPr>
        <w:pStyle w:val="Header"/>
        <w:numPr>
          <w:ilvl w:val="0"/>
          <w:numId w:val="12"/>
        </w:numPr>
        <w:tabs>
          <w:tab w:val="clear" w:pos="4320"/>
          <w:tab w:val="clear" w:pos="8640"/>
        </w:tabs>
        <w:jc w:val="both"/>
        <w:rPr/>
      </w:pPr>
      <w:r>
        <w:rPr/>
        <w:t xml:space="preserve">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t>
      </w:r>
      <w:r>
        <w:rPr>
          <w:b/>
          <w:bCs/>
        </w:rPr>
        <w:t xml:space="preserve">were </w:t>
      </w:r>
      <w:r>
        <w:rPr/>
        <w:t>being negotiated, when Garner filed suit against Enron Pipeline Company and Enron Operations Services Corp. for over $7,350,000 without naming Transredes; in-house discussions ongoing as to handling of suit</w:t>
      </w:r>
    </w:p>
    <w:p>
      <w:pPr>
        <w:pStyle w:val="Header"/>
        <w:numPr>
          <w:ilvl w:val="0"/>
          <w:numId w:val="12"/>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both"/>
        <w:rPr>
          <w:b/>
          <w:spacing w:val="-3"/>
        </w:rPr>
      </w:pPr>
      <w:r>
        <w:rPr>
          <w:b/>
          <w:i/>
          <w:spacing w:val="-3"/>
        </w:rPr>
        <w:t>Marshall v. ARCO and EOG</w:t>
      </w:r>
      <w:r>
        <w:rPr>
          <w:b/>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spacing w:val="-3"/>
        </w:rPr>
        <w:t>(State Court—Zapata County, Texas) (Vote/White) (Scott, Douglas and Ricardo Palacios—local counsel)</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Plaintiffs seek unspecified damages alleging improper measurement and metering of production by ARCO and EOG; plaintiffs also assert marketing claims against EOG</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Properties in question purchased by EOG from ARCO in December 1991; January 1993, EOG changed metering of lease production to accommodate plaintiffs</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Claims against EOG severed from Arco-related claims; no trial setting on EOG action</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Judgment entered November 24, 1997, on jury verdict against Arco totaling $67 million; Arco filed its appellant’s brief on January 22, 1999; appellees’ brief filed April 28, 1999; oral argument was heard December 7, 1999; Court of Appeals issued opinion in August 2000 largely upholding trial court’s judgment; motion for rehearing filed</w:t>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
          <w:i/>
          <w:i/>
          <w:spacing w:val="-3"/>
        </w:rPr>
      </w:pPr>
      <w:r>
        <w:rPr>
          <w:b/>
          <w:i/>
          <w:spacing w:val="-3"/>
        </w:rPr>
      </w:r>
    </w:p>
    <w:p>
      <w:pPr>
        <w:pStyle w:val="Normal"/>
        <w:widowControl w:val="false"/>
        <w:tabs>
          <w:tab w:val="clear" w:pos="720"/>
          <w:tab w:val="right" w:pos="9360" w:leader="none"/>
        </w:tabs>
        <w:suppressAutoHyphens w:val="true"/>
        <w:jc w:val="both"/>
        <w:rPr>
          <w:b/>
        </w:rPr>
      </w:pPr>
      <w:r>
        <w:rPr>
          <w:b/>
          <w:i/>
        </w:rPr>
        <w:t xml:space="preserve">Class of Gas Producers and Royalty Owners v. Gas Pipelines, et al. [“Quinque”] </w:t>
      </w:r>
      <w:r>
        <w:rPr>
          <w:b/>
        </w:rPr>
        <w:tab/>
      </w:r>
      <w:r>
        <w:rPr>
          <w:b/>
          <w:i/>
        </w:rPr>
        <w:t>[NO UPDATE]</w:t>
      </w:r>
    </w:p>
    <w:p>
      <w:pPr>
        <w:pStyle w:val="BodyText2"/>
        <w:rPr>
          <w:sz w:val="24"/>
        </w:rPr>
      </w:pPr>
      <w:r>
        <w:rPr>
          <w:sz w:val="24"/>
        </w:rPr>
        <w:t>(Wichita, Kansas federal court) (MDL—Casper, Wyoming federal court) (Cheek/Davis) (Gibbs &amp; Bruns, Vinson &amp; Elkins—associate counsel; Doug Crotty—local counsel)</w:t>
      </w:r>
    </w:p>
    <w:p>
      <w:pPr>
        <w:pStyle w:val="Normal"/>
        <w:widowControl w:val="false"/>
        <w:numPr>
          <w:ilvl w:val="0"/>
          <w:numId w:val="10"/>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0"/>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0"/>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0"/>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xml:space="preserve">; MDL Panel issued Conditional Transfer Order June 19, 2000; on July 5, 2000, the U. S. filed Notice of Objection to Transfer, which the East Texas Plaintiffs joined; on July 19, 2000, the U. S. moved to vacate the conditional transfer order; 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the U.S. motions relative to the </w:t>
      </w:r>
      <w:r>
        <w:rPr>
          <w:i/>
          <w:iCs/>
        </w:rPr>
        <w:t xml:space="preserve">Grynberg </w:t>
      </w:r>
      <w:r>
        <w:rPr/>
        <w:t>valuation allegations do not apply to Quinque; await rulings</w:t>
      </w:r>
    </w:p>
    <w:p>
      <w:pPr>
        <w:pStyle w:val="Normal"/>
        <w:widowControl w:val="false"/>
        <w:numPr>
          <w:ilvl w:val="0"/>
          <w:numId w:val="10"/>
        </w:numPr>
        <w:tabs>
          <w:tab w:val="clear" w:pos="720"/>
          <w:tab w:val="right" w:pos="9360" w:leader="none"/>
        </w:tabs>
        <w:suppressAutoHyphens w:val="true"/>
        <w:jc w:val="both"/>
        <w:rPr/>
      </w:pPr>
      <w:r>
        <w:rPr>
          <w:i/>
        </w:rPr>
        <w:t>See Grynberg II</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w:t>
      </w:r>
      <w:r>
        <w:rPr>
          <w:b/>
        </w:rPr>
        <w:t xml:space="preserve"> </w:t>
      </w:r>
      <w:r>
        <w:rPr/>
        <w:t>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247 releases received; await additional releases</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b w:val="false"/>
          <w:bCs/>
        </w:rPr>
      </w:pPr>
      <w:r>
        <w:rPr/>
        <w:t>Halili v. FGT</w:t>
      </w:r>
      <w:r>
        <w:rPr>
          <w:b w:val="false"/>
        </w:rPr>
        <w:tab/>
      </w:r>
      <w:r>
        <w:rPr/>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4"/>
        </w:numPr>
        <w:tabs>
          <w:tab w:val="clear" w:pos="720"/>
          <w:tab w:val="right" w:pos="9360" w:leader="none"/>
        </w:tabs>
        <w:suppressAutoHyphens w:val="true"/>
        <w:jc w:val="both"/>
        <w:rPr>
          <w:i/>
          <w:i/>
          <w:spacing w:val="-3"/>
        </w:rPr>
      </w:pPr>
      <w:r>
        <w:rPr>
          <w:bCs/>
          <w:spacing w:val="-3"/>
        </w:rPr>
        <w:t xml:space="preserve">Action filed June 12, 2000 seeking </w:t>
      </w:r>
      <w:r>
        <w:rPr>
          <w:spacing w:val="-3"/>
        </w:rPr>
        <w:t>$697,000,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4"/>
        </w:numPr>
        <w:tabs>
          <w:tab w:val="clear" w:pos="720"/>
          <w:tab w:val="right" w:pos="9360" w:leader="none"/>
        </w:tabs>
        <w:suppressAutoHyphens w:val="true"/>
        <w:jc w:val="both"/>
        <w:rPr>
          <w:i/>
          <w:i/>
          <w:spacing w:val="-3"/>
        </w:rPr>
      </w:pPr>
      <w:r>
        <w:rPr>
          <w:spacing w:val="-3"/>
        </w:rPr>
        <w:t>Responsive pleadings filed September 1,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Case Management Conference set for November 7, 2000</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L.L.C. owes Northern approximately $6.4 million based on various transportation and storage agreements, net of irrevocable line of credit of approximately $320,000; Northern has no relationship with Kimball Trading Canada, Inc.; Northern has guaranty from debtor’s affiliate</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Trustee has filed objections to other claims as well</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Northern (and numerous other parties) served with adversary actions alleging preferential transfers of approximately. $436,000 as to Northern</w:t>
      </w:r>
    </w:p>
    <w:p>
      <w:pPr>
        <w:pStyle w:val="Normal"/>
        <w:widowControl w:val="false"/>
        <w:numPr>
          <w:ilvl w:val="0"/>
          <w:numId w:val="14"/>
        </w:numPr>
        <w:tabs>
          <w:tab w:val="clear" w:pos="720"/>
          <w:tab w:val="right" w:pos="9360" w:leader="none"/>
        </w:tabs>
        <w:suppressAutoHyphens w:val="true"/>
        <w:jc w:val="both"/>
        <w:rPr>
          <w:spacing w:val="-3"/>
        </w:rPr>
      </w:pPr>
      <w:r>
        <w:rPr>
          <w:spacing w:val="-3"/>
        </w:rPr>
        <w:t>By order dated June 15, 2000, Court allowed Northern’s proof of claim in the amount of $5,000,000,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Trustee’s preferential transfer action against Northern settled at mediation on August 29, 2000, for $180,000; settlement documents circulating</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w:t>
      </w:r>
      <w:r>
        <w:rPr>
          <w:b/>
          <w:bCs/>
          <w:spacing w:val="-3"/>
        </w:rPr>
        <w:t xml:space="preserve">on October 6, 2000, </w:t>
      </w:r>
      <w:r>
        <w:rPr>
          <w:spacing w:val="-3"/>
        </w:rPr>
        <w:t>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See Grynberg I and II</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In re Northern Claim Against Oneok</w:t>
        <w:tab/>
        <w:t>[NO UPDATE]</w:t>
      </w:r>
    </w:p>
    <w:p>
      <w:pPr>
        <w:pStyle w:val="Normal"/>
        <w:tabs>
          <w:tab w:val="clear" w:pos="720"/>
          <w:tab w:val="right" w:pos="9360" w:leader="none"/>
        </w:tabs>
        <w:rPr>
          <w:bCs/>
          <w:spacing w:val="-3"/>
        </w:rPr>
      </w:pPr>
      <w:r>
        <w:rPr>
          <w:bCs/>
          <w:spacing w:val="-3"/>
        </w:rPr>
        <w:t>(not yet filed) (Davis)</w:t>
      </w:r>
    </w:p>
    <w:p>
      <w:pPr>
        <w:pStyle w:val="Normal"/>
        <w:numPr>
          <w:ilvl w:val="0"/>
          <w:numId w:val="19"/>
        </w:numPr>
        <w:tabs>
          <w:tab w:val="clear" w:pos="720"/>
          <w:tab w:val="right" w:pos="9360" w:leader="none"/>
        </w:tabs>
        <w:jc w:val="both"/>
        <w:rPr>
          <w:spacing w:val="-3"/>
        </w:rPr>
      </w:pPr>
      <w:r>
        <w:rPr>
          <w:bCs/>
          <w:spacing w:val="-3"/>
        </w:rPr>
        <w:t>The Unit is investigating an imbalance claim against Oneok and/or its predecessors in interest related to gas measurement at the Bushton facility for an amount in excess of $2,500,000</w:t>
      </w:r>
      <w:r>
        <w:rPr>
          <w:b/>
          <w:spacing w:val="-3"/>
        </w:rPr>
        <w:t xml:space="preserve"> </w:t>
      </w:r>
      <w:r>
        <w:rPr>
          <w:bCs/>
          <w:spacing w:val="-3"/>
        </w:rPr>
        <w:t>in anticipation of litigation</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The Williams Co. v. State of Montana</w:t>
        <w:tab/>
        <w:t>[UPDATED]</w:t>
      </w:r>
    </w:p>
    <w:p>
      <w:pPr>
        <w:pStyle w:val="Normal"/>
        <w:tabs>
          <w:tab w:val="clear" w:pos="720"/>
          <w:tab w:val="right" w:pos="9360" w:leader="none"/>
        </w:tabs>
        <w:rPr>
          <w:spacing w:val="-3"/>
        </w:rPr>
      </w:pPr>
      <w:r>
        <w:rPr>
          <w:spacing w:val="-3"/>
        </w:rPr>
        <w:t>(State Tax Appeal Board of Montana) (Davis) (Vinson &amp; Elkins—outside counsel; Thompson, Jacobson &amp; Potts—local counsel)</w:t>
      </w:r>
    </w:p>
    <w:p>
      <w:pPr>
        <w:pStyle w:val="Normal"/>
        <w:numPr>
          <w:ilvl w:val="0"/>
          <w:numId w:val="19"/>
        </w:numPr>
        <w:tabs>
          <w:tab w:val="clear" w:pos="720"/>
          <w:tab w:val="right" w:pos="9360" w:leader="none"/>
        </w:tabs>
        <w:jc w:val="both"/>
        <w:rPr>
          <w:spacing w:val="-3"/>
        </w:rPr>
      </w:pPr>
      <w:r>
        <w:rPr>
          <w:spacing w:val="-3"/>
        </w:rPr>
        <w:t>Williams subsidiary, Northwest Alaska, contests state license tax assessment of nearly $4.5 million for Canadian gas sales</w:t>
      </w:r>
    </w:p>
    <w:p>
      <w:pPr>
        <w:pStyle w:val="Normal"/>
        <w:numPr>
          <w:ilvl w:val="0"/>
          <w:numId w:val="19"/>
        </w:numPr>
        <w:tabs>
          <w:tab w:val="clear" w:pos="720"/>
          <w:tab w:val="right" w:pos="9360" w:leader="none"/>
        </w:tabs>
        <w:jc w:val="both"/>
        <w:rPr>
          <w:spacing w:val="-3"/>
        </w:rPr>
      </w:pPr>
      <w:r>
        <w:rPr>
          <w:spacing w:val="-3"/>
        </w:rPr>
        <w:t>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19"/>
        </w:numPr>
        <w:tabs>
          <w:tab w:val="clear" w:pos="720"/>
          <w:tab w:val="right" w:pos="9360" w:leader="none"/>
        </w:tabs>
        <w:jc w:val="both"/>
        <w:rPr>
          <w:spacing w:val="-3"/>
        </w:rPr>
      </w:pPr>
      <w:r>
        <w:rPr>
          <w:spacing w:val="-3"/>
        </w:rPr>
        <w:t>On December 31, 1998, Board ruled against Northwest Alaska</w:t>
      </w:r>
    </w:p>
    <w:p>
      <w:pPr>
        <w:pStyle w:val="Normal"/>
        <w:numPr>
          <w:ilvl w:val="0"/>
          <w:numId w:val="19"/>
        </w:numPr>
        <w:tabs>
          <w:tab w:val="clear" w:pos="720"/>
          <w:tab w:val="right" w:pos="9360" w:leader="none"/>
        </w:tabs>
        <w:jc w:val="both"/>
        <w:rPr>
          <w:spacing w:val="-3"/>
        </w:rPr>
      </w:pPr>
      <w:r>
        <w:rPr>
          <w:spacing w:val="-3"/>
        </w:rPr>
        <w:t>Appeal by Northwest Alaska to state district court perfected; Williams brief filed; state of Montana brief filed Octo</w:t>
      </w:r>
      <w:r>
        <w:rPr/>
        <w:t>ber 15, 1999; oral argument held January 27, 2000</w:t>
      </w:r>
    </w:p>
    <w:p>
      <w:pPr>
        <w:pStyle w:val="Normal"/>
        <w:numPr>
          <w:ilvl w:val="0"/>
          <w:numId w:val="19"/>
        </w:numPr>
        <w:tabs>
          <w:tab w:val="clear" w:pos="720"/>
          <w:tab w:val="right" w:pos="9360" w:leader="none"/>
        </w:tabs>
        <w:jc w:val="both"/>
        <w:rPr>
          <w:spacing w:val="-3"/>
        </w:rPr>
      </w:pPr>
      <w:r>
        <w:rPr/>
        <w:t>Order entered July 15, 2000, by state district court; appeal by state of Montana anticipated</w:t>
      </w:r>
    </w:p>
    <w:p>
      <w:pPr>
        <w:pStyle w:val="Normal"/>
        <w:numPr>
          <w:ilvl w:val="0"/>
          <w:numId w:val="19"/>
        </w:numPr>
        <w:tabs>
          <w:tab w:val="clear" w:pos="720"/>
          <w:tab w:val="right" w:pos="9360" w:leader="none"/>
        </w:tabs>
        <w:jc w:val="both"/>
        <w:rPr>
          <w:spacing w:val="-3"/>
        </w:rPr>
      </w:pPr>
      <w:r>
        <w:rPr>
          <w:b/>
          <w:bCs/>
        </w:rPr>
        <w:t>State of Montana filed notice of appeal September 25, 2000; Williams filed notice of cross-appeal September 27, 2000</w:t>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w:t>
        <w:tab/>
        <w:t>[NO UPDATE]</w:t>
      </w:r>
    </w:p>
    <w:p>
      <w:pPr>
        <w:pStyle w:val="Normal"/>
        <w:widowControl w:val="false"/>
        <w:tabs>
          <w:tab w:val="clear" w:pos="720"/>
          <w:tab w:val="right" w:pos="9360" w:leader="none"/>
        </w:tabs>
        <w:jc w:val="both"/>
        <w:rPr>
          <w:b/>
          <w:i/>
          <w:i/>
          <w:spacing w:val="-3"/>
        </w:rPr>
      </w:pPr>
      <w:r>
        <w:rPr>
          <w:b/>
          <w:i/>
          <w:spacing w:val="-3"/>
        </w:rPr>
        <w:t xml:space="preserve">Southern Natural Gas Company (including FGT, Citrus, and Citrus Interstate) </w:t>
      </w:r>
      <w:r>
        <w:rPr>
          <w:spacing w:val="-3"/>
        </w:rPr>
        <w:t>(“</w:t>
      </w:r>
      <w:r>
        <w:rPr>
          <w:i/>
          <w:spacing w:val="-3"/>
        </w:rPr>
        <w:t>Grynberg II</w:t>
      </w:r>
      <w:r>
        <w:rPr>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w:t>
      </w:r>
      <w:r>
        <w:rPr>
          <w:b/>
          <w:bCs/>
        </w:rPr>
        <w:t xml:space="preserve"> </w:t>
      </w:r>
      <w:r>
        <w:rPr/>
        <w:t>February 14, 2000; oral argument held March 17, 2000; await ruling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the MDL Panel ordered the Wright and Osterhoudt East Texas gas cases transferred to Wyoming and consolidated with MDL-1293</w:t>
      </w:r>
    </w:p>
    <w:p>
      <w:pPr>
        <w:pStyle w:val="Normal"/>
        <w:widowControl w:val="false"/>
        <w:numPr>
          <w:ilvl w:val="0"/>
          <w:numId w:val="10"/>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await ruling</w:t>
      </w:r>
    </w:p>
    <w:p>
      <w:pPr>
        <w:pStyle w:val="Normal"/>
        <w:widowControl w:val="false"/>
        <w:numPr>
          <w:ilvl w:val="0"/>
          <w:numId w:val="10"/>
        </w:numPr>
        <w:tabs>
          <w:tab w:val="clear" w:pos="720"/>
          <w:tab w:val="right" w:pos="9360" w:leader="none"/>
        </w:tabs>
        <w:suppressAutoHyphens w:val="true"/>
        <w:jc w:val="both"/>
        <w:rPr/>
      </w:pPr>
      <w:r>
        <w:rPr>
          <w:i/>
          <w:iCs/>
        </w:rPr>
        <w:t>See Quinque</w:t>
      </w:r>
    </w:p>
    <w:p>
      <w:pPr>
        <w:pStyle w:val="Normal"/>
        <w:suppressAutoHyphens w:val="true"/>
        <w:jc w:val="both"/>
        <w:rPr>
          <w:i/>
          <w:i/>
          <w:spacing w:val="-3"/>
        </w:rPr>
      </w:pPr>
      <w:r>
        <w:rPr>
          <w:i/>
          <w:spacing w:val="-3"/>
        </w:rPr>
      </w:r>
    </w:p>
    <w:p>
      <w:pPr>
        <w:pStyle w:val="Normal"/>
        <w:tabs>
          <w:tab w:val="clear" w:pos="720"/>
          <w:tab w:val="right" w:pos="9360" w:leader="none"/>
        </w:tabs>
        <w:jc w:val="center"/>
        <w:rPr>
          <w:spacing w:val="-3"/>
        </w:rPr>
      </w:pPr>
      <w:r>
        <w:rPr>
          <w:b/>
          <w:spacing w:val="-3"/>
          <w:u w:val="single"/>
        </w:rPr>
        <w:t>ENRON ENERGY SERVICES.</w:t>
      </w:r>
    </w:p>
    <w:p>
      <w:pPr>
        <w:pStyle w:val="Normal"/>
        <w:tabs>
          <w:tab w:val="clear" w:pos="720"/>
          <w:tab w:val="right" w:pos="9360" w:leader="none"/>
        </w:tabs>
        <w:jc w:val="both"/>
        <w:rPr>
          <w:spacing w:val="-3"/>
        </w:rPr>
      </w:pPr>
      <w:r>
        <w:rPr>
          <w:spacing w:val="-3"/>
        </w:rPr>
      </w:r>
    </w:p>
    <w:p>
      <w:pPr>
        <w:pStyle w:val="Normal"/>
        <w:suppressAutoHyphens w:val="true"/>
        <w:jc w:val="center"/>
        <w:rPr>
          <w:spacing w:val="-3"/>
        </w:rPr>
      </w:pPr>
      <w:r>
        <w:rPr>
          <w:spacing w:val="-3"/>
        </w:rPr>
        <w:t>None</w:t>
      </w:r>
    </w:p>
    <w:p>
      <w:pPr>
        <w:pStyle w:val="Normal"/>
        <w:suppressAutoHyphens w:val="true"/>
        <w:jc w:val="center"/>
        <w:rPr>
          <w:spacing w:val="-3"/>
        </w:rPr>
      </w:pPr>
      <w:r>
        <w:rPr>
          <w:spacing w:val="-3"/>
        </w:rPr>
      </w:r>
    </w:p>
    <w:p>
      <w:pPr>
        <w:pStyle w:val="Normal"/>
        <w:tabs>
          <w:tab w:val="clear" w:pos="720"/>
          <w:tab w:val="left" w:pos="1440" w:leader="none"/>
          <w:tab w:val="left" w:pos="5760" w:leader="none"/>
        </w:tabs>
        <w:jc w:val="center"/>
        <w:rPr>
          <w:b/>
          <w:spacing w:val="-3"/>
          <w:u w:val="single"/>
        </w:rPr>
      </w:pPr>
      <w:r>
        <w:rPr>
          <w:b/>
          <w:spacing w:val="-3"/>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Normal"/>
        <w:tabs>
          <w:tab w:val="clear" w:pos="720"/>
          <w:tab w:val="left" w:pos="1440" w:leader="none"/>
          <w:tab w:val="left" w:pos="5760" w:leader="none"/>
        </w:tabs>
        <w:jc w:val="center"/>
        <w:rPr>
          <w:b/>
          <w:spacing w:val="-3"/>
          <w:u w:val="single"/>
        </w:rPr>
      </w:pPr>
      <w:r>
        <w:rPr>
          <w:spacing w:val="-3"/>
        </w:rPr>
        <w:t>None</w:t>
      </w:r>
    </w:p>
    <w:p>
      <w:pPr>
        <w:pStyle w:val="Heading6"/>
        <w:tabs>
          <w:tab w:val="clear" w:pos="2160"/>
          <w:tab w:val="clear" w:pos="6480"/>
          <w:tab w:val="left" w:pos="1440" w:leader="none"/>
          <w:tab w:val="left" w:pos="5760" w:leader="none"/>
        </w:tabs>
        <w:ind w:hanging="0" w:start="0"/>
        <w:rPr>
          <w:b w:val="false"/>
          <w:spacing w:val="-3"/>
          <w:u w:val="single"/>
        </w:rPr>
      </w:pPr>
      <w:r>
        <w:rPr>
          <w:b w:val="false"/>
          <w:spacing w:val="-3"/>
          <w:u w:val="single"/>
        </w:rPr>
      </w:r>
    </w:p>
    <w:p>
      <w:pPr>
        <w:pStyle w:val="Heading6"/>
        <w:tabs>
          <w:tab w:val="clear" w:pos="2160"/>
          <w:tab w:val="clear" w:pos="6480"/>
          <w:tab w:val="left" w:pos="1440" w:leader="none"/>
          <w:tab w:val="left" w:pos="5760" w:leader="none"/>
        </w:tabs>
        <w:ind w:hanging="0" w:start="0"/>
        <w:rPr/>
      </w:pPr>
      <w:r>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initated discovery</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[NO UPDATE]</w:t>
      </w:r>
    </w:p>
    <w:p>
      <w:pPr>
        <w:pStyle w:val="Heading7"/>
        <w:ind w:hanging="0" w:start="0"/>
        <w:rPr/>
      </w:pPr>
      <w:r>
        <w:rPr/>
        <w:t>In re Rio Piedras District, San Juan,</w:t>
      </w:r>
      <w:r>
        <w:rPr>
          <w:b w:val="false"/>
          <w:i w:val="false"/>
        </w:rPr>
        <w:t xml:space="preserve"> </w:t>
      </w:r>
      <w:r>
        <w:rPr>
          <w:bCs/>
          <w:i w:val="false"/>
        </w:rPr>
        <w:t xml:space="preserve">Puerto Rico </w:t>
      </w:r>
      <w:r>
        <w:rPr>
          <w:bCs/>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508 suits pending in federal or local court in Puerto Rico on behalf of nearly 1,460 different plaintiffs against Enron Corp., San Juan Gas, and/or their carriers and affiliates; total alleged damages exceed </w:t>
      </w:r>
      <w:r>
        <w:rPr/>
        <w:t>$3.3</w:t>
      </w:r>
      <w:r>
        <w:rPr>
          <w:spacing w:val="-3"/>
        </w:rPr>
        <w:t xml:space="preserve"> billion; “extrajudicial claim” notices arguably in effect for a number of claimants which may extend the statute of limitations</w:t>
      </w:r>
    </w:p>
    <w:p>
      <w:pPr>
        <w:pStyle w:val="Normal"/>
        <w:numPr>
          <w:ilvl w:val="0"/>
          <w:numId w:val="19"/>
        </w:numPr>
        <w:suppressAutoHyphens w:val="true"/>
        <w:jc w:val="both"/>
        <w:rPr>
          <w:spacing w:val="-3"/>
        </w:rPr>
      </w:pPr>
      <w:r>
        <w:rPr/>
        <w:t>The plaintiffs, Enron defendants, and carriers entered on January 19, 2000, Points of Agreement, whereby the liability trial would be moot and all proceedings involving such trial, including disputes relative to privileged documents, would be resolved upon reaching agreement with co-defendants, which was executed March 28, 2000; by order entered May 9, 2000, the federal court approved the agreements and authorized payment of individual case settlements to a plaintiff-established escrow account; nearly 500 individual claims have been settled in principle; releases being distributed to the settling plaintiffs and funding to the escrow account is going forward upon receipt of executed releases and dismissals</w:t>
      </w:r>
    </w:p>
    <w:p>
      <w:pPr>
        <w:pStyle w:val="Normal"/>
        <w:numPr>
          <w:ilvl w:val="0"/>
          <w:numId w:val="19"/>
        </w:numPr>
        <w:suppressAutoHyphens w:val="true"/>
        <w:jc w:val="both"/>
        <w:rPr>
          <w:spacing w:val="-3"/>
        </w:rPr>
      </w:pPr>
      <w:r>
        <w:rPr/>
        <w:t>By order entered May 11, 2000, the federal court selected 20 “representative cases” involving 96 plaintiffs for trials in the spring of 2001; discovery will also be pursued in the remaining federal cases, but no trial dates have been set; on May 19, 2000, the parties jointly proposed a discovery schedule providing for the close of representative case discovery on November 15, 2000, and a discovery cut-off of June 30, 2001, in the remaining cases was entered by the federal court on June 26, 2000; the Superior Court action has been effectively stayed for nearly nine months, pending appointment of new trial judge, which was effected on or about October 1, 2000; hearing there held October 3, 2000, where judge requested submission of memorandum order to approve the Points of Agreement, as amended, and Settlement Agreement Among Defendants, as submitted to the court on March 31, 2000, and as approved by the federal court on May 9, 2000; order drafted and being reviewed by plaintiffs’ counsel</w:t>
      </w:r>
    </w:p>
    <w:p>
      <w:pPr>
        <w:pStyle w:val="Normal"/>
        <w:numPr>
          <w:ilvl w:val="0"/>
          <w:numId w:val="19"/>
        </w:numPr>
        <w:suppressAutoHyphens w:val="true"/>
        <w:jc w:val="both"/>
        <w:rPr>
          <w:spacing w:val="-3"/>
        </w:rPr>
      </w:pPr>
      <w:r>
        <w:rPr>
          <w:spacing w:val="-3"/>
        </w:rPr>
        <w:t>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are on file; await ruling</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w:t>
      </w:r>
      <w:r>
        <w:rPr>
          <w:b/>
          <w:bCs/>
        </w:rPr>
        <w:t>November 2</w:t>
      </w:r>
      <w:r>
        <w:rPr/>
        <w:t xml:space="preserve">, 2000; </w:t>
      </w:r>
      <w:r>
        <w:rPr>
          <w:spacing w:val="-3"/>
        </w:rPr>
        <w:t>carriers’ local counsel actively participates in individual settlement efforts</w:t>
      </w:r>
    </w:p>
    <w:p>
      <w:pPr>
        <w:pStyle w:val="Normal"/>
        <w:suppressAutoHyphens w:val="true"/>
        <w:jc w:val="both"/>
        <w:rPr/>
      </w:pPr>
      <w:r>
        <w:rPr/>
      </w:r>
    </w:p>
    <w:p>
      <w:pPr>
        <w:pStyle w:val="Normal"/>
        <w:suppressAutoHyphens w:val="true"/>
        <w:jc w:val="both"/>
        <w:rPr/>
      </w:pPr>
      <w:r>
        <w:rPr/>
      </w:r>
    </w:p>
    <w:p>
      <w:pPr>
        <w:pStyle w:val="Heading7"/>
        <w:widowControl w:val="false"/>
        <w:suppressAutoHyphens w:val="true"/>
        <w:ind w:hanging="0" w:start="0"/>
        <w:rPr/>
      </w:pPr>
      <w:r>
        <w:rPr/>
        <w:t>NNG Pipeline Rupture—Fayette County, Iowa</w:t>
        <w:tab/>
        <w:t>[NO UPDATE]</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Investigations by Iowa PUC and Iowa Utility Board initiated; DOT and NTSB notified; data requests received from DOT-Office of Pipeline Safety and Iowa Utilities Board; responses timely provided</w:t>
      </w:r>
    </w:p>
    <w:p>
      <w:pPr>
        <w:pStyle w:val="Normal"/>
        <w:widowControl w:val="false"/>
        <w:numPr>
          <w:ilvl w:val="0"/>
          <w:numId w:val="5"/>
        </w:numPr>
        <w:tabs>
          <w:tab w:val="clear" w:pos="720"/>
          <w:tab w:val="right" w:pos="9360" w:leader="none"/>
        </w:tabs>
        <w:suppressAutoHyphens w:val="true"/>
        <w:jc w:val="both"/>
        <w:rPr>
          <w:spacing w:val="-3"/>
        </w:rPr>
      </w:pPr>
      <w:r>
        <w:rPr>
          <w:spacing w:val="-3"/>
        </w:rPr>
        <w:t>Relatives and the estate of deceased, Daniel Reedy, have retained counsel; one of the injured, Gary Davis, has also retained counsel</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spacing w:val="-3"/>
        </w:rPr>
      </w:pPr>
      <w:r>
        <w:rPr>
          <w:spacing w:val="-3"/>
        </w:rPr>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r>
      <w:r>
        <w:rPr>
          <w:b/>
          <w:sz w:val="22"/>
        </w:rPr>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Gail Brownfeld</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Mr. Frank Sayre</w:t>
      </w:r>
    </w:p>
    <w:p>
      <w:pPr>
        <w:pStyle w:val="Normal"/>
        <w:tabs>
          <w:tab w:val="left" w:pos="720" w:leader="none"/>
          <w:tab w:val="left" w:pos="5040" w:leader="none"/>
          <w:tab w:val="left" w:pos="7650" w:leader="none"/>
        </w:tabs>
        <w:rPr>
          <w:sz w:val="22"/>
        </w:rPr>
      </w:pPr>
      <w:r>
        <w:rPr>
          <w:sz w:val="22"/>
        </w:rPr>
        <w:tab/>
        <w:t>Mr. John Schwartzenburg</w:t>
      </w:r>
    </w:p>
    <w:p>
      <w:pPr>
        <w:pStyle w:val="Normal"/>
        <w:tabs>
          <w:tab w:val="left" w:pos="720" w:leader="none"/>
          <w:tab w:val="left" w:pos="5040" w:leader="none"/>
          <w:tab w:val="left" w:pos="7650" w:leader="none"/>
        </w:tabs>
        <w:rPr>
          <w:sz w:val="22"/>
        </w:rPr>
      </w:pPr>
      <w:r>
        <w:rPr>
          <w:sz w:val="22"/>
        </w:rPr>
        <w:tab/>
        <w:t>Mr. Scott Sefton</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tab/>
        <w:t>Mr. Randy Young</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/mnt/main-storage/datasets/enron-docs/doc/MJVDWKL2-86496d4717c7666d5e663d23cb265ababbb6829d4df08f248dbd4fa206a41017.DOC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u w:val="single"/>
    </w:rPr>
  </w:style>
  <w:style w:type="paragraph" w:styleId="Heading3">
    <w:name w:val="heading 3"/>
    <w:basedOn w:val="Normal"/>
    <w:next w:val="Normal"/>
    <w:qFormat/>
    <w:pPr>
      <w:numPr>
        <w:ilvl w:val="2"/>
        <w:numId w:val="1"/>
      </w:numPr>
      <w:spacing w:lineRule="auto" w:line="480"/>
      <w:jc w:val="both"/>
      <w:outlineLvl w:val="2"/>
    </w:pPr>
    <w:rPr>
      <w:i/>
    </w:rPr>
  </w:style>
  <w:style w:type="paragraph" w:styleId="Heading4">
    <w:name w:val="heading 4"/>
    <w:basedOn w:val="Normal"/>
    <w:next w:val="Normal"/>
    <w:qFormat/>
    <w:pPr>
      <w:numPr>
        <w:ilvl w:val="3"/>
        <w:numId w:val="1"/>
      </w:numPr>
      <w:spacing w:before="0" w:after="120"/>
      <w:ind w:firstLine="720" w:start="1440" w:end="1440"/>
      <w:jc w:val="both"/>
      <w:outlineLvl w:val="3"/>
    </w:pPr>
    <w:rPr/>
  </w:style>
  <w:style w:type="paragraph" w:styleId="Heading5">
    <w:name w:val="heading 5"/>
    <w:basedOn w:val="Normal"/>
    <w:next w:val="Normal"/>
    <w:qFormat/>
    <w:pPr>
      <w:keepNext w:val="true"/>
      <w:numPr>
        <w:ilvl w:val="4"/>
        <w:numId w:val="1"/>
      </w:numPr>
      <w:ind w:hanging="0" w:start="0" w:end="-180"/>
      <w:jc w:val="both"/>
      <w:outlineLvl w:val="4"/>
    </w:pPr>
    <w:rPr>
      <w:b/>
      <w:i/>
      <w:spacing w:val="-3"/>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left" w:pos="720" w:leader="none"/>
        <w:tab w:val="right" w:pos="9360" w:leader="dot"/>
      </w:tabs>
      <w:spacing w:before="0" w:after="120"/>
      <w:ind w:firstLine="720" w:start="0" w:end="0"/>
    </w:pPr>
    <w:rPr/>
  </w:style>
  <w:style w:type="paragraph" w:styleId="TOC1">
    <w:name w:val="toc 1"/>
    <w:basedOn w:val="Normal"/>
    <w:next w:val="Normal"/>
    <w:pPr>
      <w:tabs>
        <w:tab w:val="clear" w:pos="720"/>
        <w:tab w:val="right" w:pos="9360" w:leader="dot"/>
      </w:tabs>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8640" w:leader="dot"/>
      </w:tabs>
      <w:spacing w:before="120" w:after="120"/>
      <w:ind w:hanging="0" w:start="245" w:end="0"/>
    </w:pPr>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2000-08-11T20:14:00Z</dcterms:created>
  <dc:creator>Enron</dc:creator>
  <dc:description/>
  <dc:language>en-CA</dc:language>
  <cp:lastModifiedBy>mlawles</cp:lastModifiedBy>
  <cp:lastPrinted>2000-11-10T15:01:00Z</cp:lastPrinted>
  <dcterms:modified xsi:type="dcterms:W3CDTF">2000-11-10T18:31:00Z</dcterms:modified>
  <cp:revision>38</cp:revision>
  <dc:subject>Weekly Report-Major Litigation/Claims</dc:subject>
  <dc:title>Memo to James V. Derrick, Jr.</dc:title>
</cp:coreProperties>
</file>