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spacing w:val="-3"/>
        </w:rPr>
      </w:pPr>
      <w:r>
        <w:rPr>
          <w:b/>
          <w:spacing w:val="-5"/>
          <w:sz w:val="40"/>
        </w:rPr>
        <w:t>ENRON</w:t>
      </w:r>
      <w:r>
        <w:rPr>
          <w:b/>
          <w:spacing w:val="-3"/>
        </w:rPr>
        <w:t xml:space="preserve"> LITIGATION UNIT</w:t>
        <w:tab/>
      </w:r>
      <w:r>
        <w:rPr>
          <w:b/>
          <w:spacing w:val="-3"/>
          <w:sz w:val="32"/>
        </w:rPr>
        <w:t>VIA CC:MAIL</w:t>
      </w:r>
    </w:p>
    <w:p>
      <w:pPr>
        <w:pStyle w:val="Normal"/>
        <w:jc w:val="both"/>
        <w:rPr>
          <w:b/>
          <w:spacing w:val="-3"/>
        </w:rPr>
      </w:pPr>
      <w:r>
        <w:rPr>
          <w:b/>
          <w:spacing w:val="-3"/>
        </w:rPr>
      </w:r>
    </w:p>
    <w:p>
      <w:pPr>
        <w:pStyle w:val="Normal"/>
        <w:jc w:val="center"/>
        <w:rPr>
          <w:spacing w:val="-3"/>
        </w:rPr>
      </w:pPr>
      <w:r>
        <w:rPr>
          <w:b/>
          <w:spacing w:val="-3"/>
          <w:u w:val="single"/>
        </w:rPr>
        <w:t>M E M O R A N D U M</w:t>
      </w:r>
    </w:p>
    <w:p>
      <w:pPr>
        <w:pStyle w:val="Normal"/>
        <w:jc w:val="both"/>
        <w:rPr>
          <w:spacing w:val="-3"/>
        </w:rPr>
      </w:pPr>
      <w:r>
        <w:rPr>
          <w:spacing w:val="-3"/>
        </w:rPr>
      </w:r>
    </w:p>
    <w:p>
      <w:pPr>
        <w:pStyle w:val="Normal"/>
        <w:tabs>
          <w:tab w:val="clear" w:pos="720"/>
          <w:tab w:val="left" w:pos="1440" w:leader="none"/>
          <w:tab w:val="right" w:pos="9360" w:leader="none"/>
        </w:tabs>
        <w:rPr>
          <w:spacing w:val="-3"/>
        </w:rPr>
      </w:pPr>
      <w:r>
        <w:rPr>
          <w:spacing w:val="-3"/>
        </w:rPr>
        <w:t>TO:</w:t>
        <w:tab/>
        <w:t xml:space="preserve">Mr. James V. Derrick, Jr. </w:t>
        <w:tab/>
      </w:r>
      <w:r>
        <w:rPr>
          <w:b/>
          <w:spacing w:val="-3"/>
          <w:u w:val="single"/>
        </w:rPr>
        <w:t>CONFIDENTIAL</w:t>
      </w:r>
    </w:p>
    <w:p>
      <w:pPr>
        <w:pStyle w:val="Normal"/>
        <w:tabs>
          <w:tab w:val="clear" w:pos="720"/>
          <w:tab w:val="left" w:pos="1440" w:leader="none"/>
        </w:tabs>
        <w:rPr>
          <w:spacing w:val="-3"/>
        </w:rPr>
      </w:pPr>
      <w:r>
        <w:rPr>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RE:</w:t>
        <w:tab/>
      </w:r>
      <w:r>
        <w:rPr>
          <w:b/>
          <w:spacing w:val="-3"/>
        </w:rPr>
        <w:t>Weekly Report--Major Litigation/Claims</w:t>
      </w:r>
      <w:r>
        <w:rPr>
          <w:rStyle w:val="FootnoteCharacters"/>
          <w:rStyle w:val="FootnoteReference"/>
          <w:b/>
          <w:spacing w:val="-5"/>
        </w:rPr>
        <w:footnoteReference w:customMarkFollows="1" w:id="2"/>
        <w:t>*</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spacing w:val="-3"/>
        </w:rPr>
      </w:pPr>
      <w:r>
        <w:rPr>
          <w:spacing w:val="-3"/>
        </w:rPr>
        <w:t>_______________________________________________________________________________</w:t>
      </w:r>
    </w:p>
    <w:p>
      <w:pPr>
        <w:pStyle w:val="Normal"/>
        <w:jc w:val="center"/>
        <w:rPr>
          <w:b/>
          <w:spacing w:val="-3"/>
          <w:u w:val="single"/>
        </w:rPr>
      </w:pPr>
      <w:r>
        <w:rPr>
          <w:b/>
          <w:spacing w:val="-3"/>
          <w:u w:val="single"/>
        </w:rPr>
      </w:r>
    </w:p>
    <w:p>
      <w:pPr>
        <w:pStyle w:val="Normal"/>
        <w:jc w:val="center"/>
        <w:rPr>
          <w:b/>
          <w:spacing w:val="-3"/>
          <w:u w:val="single"/>
        </w:rPr>
      </w:pPr>
      <w:r>
        <w:rPr>
          <w:b/>
          <w:spacing w:val="-3"/>
          <w:u w:val="single"/>
        </w:rPr>
      </w:r>
    </w:p>
    <w:p>
      <w:pPr>
        <w:pStyle w:val="Normal"/>
        <w:jc w:val="center"/>
        <w:rPr>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Commonwealth Edison Co. v. Kinder Morgan G.P., Inc., f/k/a Enron Liquids</w:t>
        <w:tab/>
        <w:t>[UPDATED]</w:t>
      </w:r>
    </w:p>
    <w:p>
      <w:pPr>
        <w:pStyle w:val="BodyText"/>
        <w:tabs>
          <w:tab w:val="clear" w:pos="9360"/>
        </w:tabs>
        <w:rPr>
          <w:b/>
          <w:bCs/>
          <w:i/>
          <w:i/>
          <w:iCs/>
        </w:rPr>
      </w:pPr>
      <w:r>
        <w:rPr>
          <w:b/>
          <w:bCs/>
          <w:i/>
          <w:iCs/>
        </w:rPr>
        <w:t>Pipline Company, L.P. and Hydrocarbon Transportation, Inc., et al.</w:t>
      </w:r>
    </w:p>
    <w:p>
      <w:pPr>
        <w:pStyle w:val="BodyText"/>
        <w:tabs>
          <w:tab w:val="clear" w:pos="9360"/>
        </w:tabs>
        <w:rPr/>
      </w:pPr>
      <w:r>
        <w:rPr/>
        <w:t>(Chicago, Illinois—</w:t>
      </w:r>
      <w:r>
        <w:rPr>
          <w:b/>
          <w:bCs/>
        </w:rPr>
        <w:t>state</w:t>
      </w:r>
      <w:r>
        <w:rPr/>
        <w:t xml:space="preserve"> court) (Vote) (Mark Brand, Brand &amp; Novak—local counsel)</w:t>
      </w:r>
    </w:p>
    <w:p>
      <w:pPr>
        <w:pStyle w:val="BodyText"/>
        <w:numPr>
          <w:ilvl w:val="0"/>
          <w:numId w:val="16"/>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6"/>
        </w:numPr>
        <w:tabs>
          <w:tab w:val="clear" w:pos="9360"/>
        </w:tabs>
        <w:ind w:hanging="360" w:start="360" w:end="0"/>
        <w:rPr/>
      </w:pPr>
      <w:r>
        <w:rPr/>
        <w:t>Plaintiff seeks nearly $400,000, plus fees and costs</w:t>
      </w:r>
    </w:p>
    <w:p>
      <w:pPr>
        <w:pStyle w:val="BodyText"/>
        <w:numPr>
          <w:ilvl w:val="0"/>
          <w:numId w:val="16"/>
        </w:numPr>
        <w:tabs>
          <w:tab w:val="clear" w:pos="9360"/>
        </w:tabs>
        <w:ind w:hanging="360" w:start="360" w:end="0"/>
        <w:rPr/>
      </w:pPr>
      <w:r>
        <w:rPr/>
        <w:t>Removed to federal court August 10, 2000; answer filed August 30, 2000</w:t>
      </w:r>
    </w:p>
    <w:p>
      <w:pPr>
        <w:pStyle w:val="BodyText"/>
        <w:numPr>
          <w:ilvl w:val="0"/>
          <w:numId w:val="16"/>
        </w:numPr>
        <w:tabs>
          <w:tab w:val="clear" w:pos="9360"/>
        </w:tabs>
        <w:ind w:hanging="360" w:start="360" w:end="0"/>
        <w:rPr/>
      </w:pPr>
      <w:r>
        <w:rPr/>
        <w:t xml:space="preserve">Remanded to state court September 18, 2000, by Kinder-Morgan </w:t>
      </w:r>
      <w:r>
        <w:rPr>
          <w:b/>
          <w:bCs/>
        </w:rPr>
        <w:t>motion</w:t>
      </w:r>
    </w:p>
    <w:p>
      <w:pPr>
        <w:pStyle w:val="BodyText"/>
        <w:numPr>
          <w:ilvl w:val="0"/>
          <w:numId w:val="16"/>
        </w:numPr>
        <w:tabs>
          <w:tab w:val="clear" w:pos="9360"/>
        </w:tabs>
        <w:ind w:hanging="360" w:start="360" w:end="0"/>
        <w:rPr/>
      </w:pPr>
      <w:r>
        <w:rPr>
          <w:b/>
          <w:bCs/>
        </w:rPr>
        <w:t>Case management hearing set for November 3, 2000</w:t>
      </w:r>
    </w:p>
    <w:p>
      <w:pPr>
        <w:pStyle w:val="Normal"/>
        <w:jc w:val="center"/>
        <w:rPr>
          <w:spacing w:val="-3"/>
        </w:rPr>
      </w:pPr>
      <w:r>
        <w:rPr>
          <w:spacing w:val="-3"/>
        </w:rPr>
      </w:r>
    </w:p>
    <w:p>
      <w:pPr>
        <w:pStyle w:val="Normal"/>
        <w:jc w:val="center"/>
        <w:rPr>
          <w:spacing w:val="-3"/>
        </w:rPr>
      </w:pPr>
      <w:r>
        <w:rPr>
          <w:spacing w:val="-3"/>
        </w:rPr>
      </w:r>
    </w:p>
    <w:p>
      <w:pPr>
        <w:pStyle w:val="BodyText"/>
        <w:rPr>
          <w:b/>
          <w:bCs/>
          <w:i/>
          <w:i/>
          <w:iCs/>
        </w:rPr>
      </w:pPr>
      <w:r>
        <w:rPr>
          <w:b/>
          <w:bCs/>
          <w:i/>
          <w:iCs/>
        </w:rPr>
        <w:t>ExxonMobil Corporation v. Enron Gas Processing Co., et al.</w:t>
        <w:tab/>
        <w:t>[UPDATED]</w:t>
      </w:r>
    </w:p>
    <w:p>
      <w:pPr>
        <w:pStyle w:val="BodyText"/>
        <w:tabs>
          <w:tab w:val="clear" w:pos="9360"/>
        </w:tabs>
        <w:rPr/>
      </w:pPr>
      <w:r>
        <w:rPr/>
        <w:t>(Harris County—state court) (Vote/Davis) (</w:t>
      </w:r>
      <w:r>
        <w:rPr>
          <w:b/>
          <w:bCs/>
        </w:rPr>
        <w:t>Grant Harvey, Gibbs &amp; Bruns—</w:t>
      </w:r>
      <w:r>
        <w:rPr/>
        <w:t>local counsel)</w:t>
      </w:r>
    </w:p>
    <w:p>
      <w:pPr>
        <w:pStyle w:val="BodyText"/>
        <w:numPr>
          <w:ilvl w:val="0"/>
          <w:numId w:val="16"/>
        </w:numPr>
        <w:tabs>
          <w:tab w:val="clear" w:pos="9360"/>
        </w:tabs>
        <w:ind w:hanging="360" w:start="360" w:end="0"/>
        <w:rPr/>
      </w:pPr>
      <w:r>
        <w:rPr>
          <w:color w:val="000000"/>
        </w:rPr>
        <w:t>Exxon Mobil allege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6"/>
        </w:numPr>
        <w:tabs>
          <w:tab w:val="clear" w:pos="9360"/>
        </w:tabs>
        <w:ind w:hanging="360" w:start="360" w:end="0"/>
        <w:rPr/>
      </w:pPr>
      <w:r>
        <w:rPr>
          <w:color w:val="000000"/>
        </w:rPr>
        <w:t xml:space="preserve">Enron Liquids Holding Corp. [n/k/a Enron Pipeline Corp.], Enron Liquids Services Corp., and Enron Operating Company [n/k/a Enron Engineering &amp; Construction Company] </w:t>
      </w:r>
      <w:r>
        <w:rPr>
          <w:b/>
          <w:bCs/>
          <w:color w:val="000000"/>
        </w:rPr>
        <w:t>served September 25, 2000</w:t>
      </w:r>
    </w:p>
    <w:p>
      <w:pPr>
        <w:pStyle w:val="BodyText"/>
        <w:numPr>
          <w:ilvl w:val="0"/>
          <w:numId w:val="16"/>
        </w:numPr>
        <w:tabs>
          <w:tab w:val="clear" w:pos="9360"/>
        </w:tabs>
        <w:ind w:hanging="360" w:start="360" w:end="0"/>
        <w:rPr/>
      </w:pPr>
      <w:r>
        <w:rPr>
          <w:b/>
          <w:bCs/>
          <w:color w:val="000000"/>
        </w:rPr>
        <w:t>On October 16, 2000, the parties entered Rule 11 Agreement for an additional 30 days to answer and authorize Gibbs &amp; Bruns to accept service on behalf of Enron Helium Co., a division of Enron Corp., whose answer date would be November 15, 2000</w:t>
      </w:r>
    </w:p>
    <w:p>
      <w:pPr>
        <w:pStyle w:val="Normal"/>
        <w:jc w:val="both"/>
        <w:rPr>
          <w:spacing w:val="-3"/>
        </w:rPr>
      </w:pPr>
      <w:r>
        <w:rPr>
          <w:spacing w:val="-3"/>
        </w:rPr>
      </w:r>
      <w:r>
        <w:br w:type="page"/>
      </w:r>
    </w:p>
    <w:p>
      <w:pPr>
        <w:pStyle w:val="Normal"/>
        <w:jc w:val="both"/>
        <w:rPr>
          <w:spacing w:val="-3"/>
        </w:rPr>
      </w:pPr>
      <w:r>
        <w:rPr>
          <w:spacing w:val="-3"/>
        </w:rPr>
      </w:r>
    </w:p>
    <w:p>
      <w:pPr>
        <w:pStyle w:val="Normal"/>
        <w:jc w:val="center"/>
        <w:rPr>
          <w:b/>
          <w:spacing w:val="-3"/>
          <w:u w:val="single"/>
        </w:rPr>
      </w:pPr>
      <w:r>
        <w:rPr>
          <w:b/>
          <w:spacing w:val="-3"/>
          <w:u w:val="single"/>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1"/>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1"/>
        </w:numPr>
        <w:tabs>
          <w:tab w:val="clear" w:pos="9360"/>
        </w:tabs>
        <w:rPr>
          <w:b/>
          <w:bCs/>
        </w:rPr>
      </w:pPr>
      <w:r>
        <w:rPr/>
        <w:t>Notice of Dismissal filed by UM&amp;E on February 28, 2000, reserving right to refile if settlement not reached</w:t>
      </w:r>
    </w:p>
    <w:p>
      <w:pPr>
        <w:pStyle w:val="BodyText"/>
        <w:numPr>
          <w:ilvl w:val="0"/>
          <w:numId w:val="11"/>
        </w:numPr>
        <w:tabs>
          <w:tab w:val="clear" w:pos="9360"/>
        </w:tabs>
        <w:rPr/>
      </w:pPr>
      <w:r>
        <w:rPr/>
        <w:t>Settlement proposals exchanged</w:t>
      </w:r>
    </w:p>
    <w:p>
      <w:pPr>
        <w:pStyle w:val="BodyText"/>
        <w:tabs>
          <w:tab w:val="clear" w:pos="9360"/>
        </w:tabs>
        <w:rPr/>
      </w:pPr>
      <w:r>
        <w:rPr/>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Elkins—local counsel)</w:t>
      </w:r>
    </w:p>
    <w:p>
      <w:pPr>
        <w:pStyle w:val="BodyText"/>
        <w:numPr>
          <w:ilvl w:val="0"/>
          <w:numId w:val="16"/>
        </w:numPr>
        <w:tabs>
          <w:tab w:val="clear" w:pos="9360"/>
        </w:tabs>
        <w:ind w:hanging="360" w:start="360" w:end="0"/>
        <w:rPr/>
      </w:pPr>
      <w:r>
        <w:rPr/>
        <w:t>Alleged gender discrimination relating to demotion and termination of employment</w:t>
      </w:r>
    </w:p>
    <w:p>
      <w:pPr>
        <w:pStyle w:val="BodyText"/>
        <w:numPr>
          <w:ilvl w:val="0"/>
          <w:numId w:val="16"/>
        </w:numPr>
        <w:tabs>
          <w:tab w:val="clear" w:pos="9360"/>
        </w:tabs>
        <w:ind w:hanging="360" w:start="360" w:end="0"/>
        <w:rPr/>
      </w:pPr>
      <w:r>
        <w:rPr/>
        <w:t>Claimant seeks lost wages, bonuses and stock options</w:t>
      </w:r>
    </w:p>
    <w:p>
      <w:pPr>
        <w:pStyle w:val="BodyText"/>
        <w:numPr>
          <w:ilvl w:val="0"/>
          <w:numId w:val="16"/>
        </w:numPr>
        <w:tabs>
          <w:tab w:val="clear" w:pos="9360"/>
        </w:tabs>
        <w:ind w:hanging="360" w:start="360" w:end="0"/>
        <w:rPr/>
      </w:pPr>
      <w:r>
        <w:rPr/>
        <w:t>Investigation in anticipation of litigation ongoing</w:t>
      </w:r>
    </w:p>
    <w:p>
      <w:pPr>
        <w:pStyle w:val="BodyText"/>
        <w:tabs>
          <w:tab w:val="clear" w:pos="9360"/>
        </w:tabs>
        <w:rPr/>
      </w:pPr>
      <w:r>
        <w:rPr/>
      </w:r>
    </w:p>
    <w:p>
      <w:pPr>
        <w:pStyle w:val="BodyText"/>
        <w:tabs>
          <w:tab w:val="clear" w:pos="9360"/>
        </w:tabs>
        <w:rPr/>
      </w:pPr>
      <w:r>
        <w:rPr/>
      </w:r>
    </w:p>
    <w:p>
      <w:pPr>
        <w:pStyle w:val="Normal"/>
        <w:jc w:val="center"/>
        <w:rPr/>
      </w:pPr>
      <w:r>
        <w:rPr>
          <w:b/>
          <w:spacing w:val="-3"/>
        </w:rPr>
        <w:t>“</w:t>
      </w:r>
      <w:r>
        <w:rPr>
          <w:b/>
          <w:spacing w:val="-3"/>
          <w:u w:val="single"/>
        </w:rPr>
        <w:t>ECT</w:t>
      </w:r>
      <w:r>
        <w:rPr>
          <w:b/>
          <w:spacing w:val="-3"/>
        </w:rPr>
        <w:t>”</w:t>
      </w:r>
    </w:p>
    <w:p>
      <w:pPr>
        <w:pStyle w:val="Normal"/>
        <w:jc w:val="both"/>
        <w:rPr>
          <w:b/>
          <w:spacing w:val="-3"/>
        </w:rPr>
      </w:pPr>
      <w:r>
        <w:rPr>
          <w:b/>
          <w:spacing w:val="-3"/>
        </w:rPr>
      </w:r>
    </w:p>
    <w:p>
      <w:pPr>
        <w:pStyle w:val="Normal"/>
        <w:tabs>
          <w:tab w:val="clear" w:pos="720"/>
          <w:tab w:val="right" w:pos="9360" w:leader="none"/>
        </w:tabs>
        <w:jc w:val="both"/>
        <w:rPr>
          <w:b/>
          <w:i/>
          <w:i/>
          <w:spacing w:val="-3"/>
        </w:rPr>
      </w:pPr>
      <w:r>
        <w:rPr>
          <w:b/>
          <w:i/>
          <w:spacing w:val="-3"/>
        </w:rPr>
        <w:t>Base Metal Trading, Ltd. v. OJSC “Novokuznetsky Aluminum Factory</w:t>
        <w:tab/>
        <w:t>[FINAL UPDATE]</w:t>
      </w:r>
    </w:p>
    <w:p>
      <w:pPr>
        <w:pStyle w:val="BodyText"/>
        <w:tabs>
          <w:tab w:val="clear" w:pos="9360"/>
        </w:tabs>
        <w:rPr>
          <w:bCs/>
        </w:rPr>
      </w:pPr>
      <w:r>
        <w:rPr>
          <w:bCs/>
        </w:rPr>
        <w:t>(Baltimore, Maryland federal court) (Davis) (Tim Mullin, Miles &amp; Stockbridge—outside counsel)</w:t>
      </w:r>
    </w:p>
    <w:p>
      <w:pPr>
        <w:pStyle w:val="Normal"/>
        <w:numPr>
          <w:ilvl w:val="0"/>
          <w:numId w:val="13"/>
        </w:numPr>
        <w:tabs>
          <w:tab w:val="clear" w:pos="720"/>
        </w:tabs>
        <w:ind w:hanging="360" w:start="360" w:end="0"/>
        <w:jc w:val="both"/>
        <w:rPr>
          <w:bCs/>
          <w:spacing w:val="-3"/>
        </w:rPr>
      </w:pPr>
      <w:r>
        <w:rPr>
          <w:bCs/>
          <w:spacing w:val="-3"/>
        </w:rPr>
        <w:t>On June 29, 2000, Base Metals obtained ex parte attachment order and seized aluminum owned by non-party MG Metals (now Enron Metals) of Port of Baltimore; plaintiff alleged aluminum was owned by OJSC</w:t>
      </w:r>
    </w:p>
    <w:p>
      <w:pPr>
        <w:pStyle w:val="Normal"/>
        <w:numPr>
          <w:ilvl w:val="0"/>
          <w:numId w:val="13"/>
        </w:numPr>
        <w:tabs>
          <w:tab w:val="clear" w:pos="720"/>
        </w:tabs>
        <w:ind w:hanging="360" w:start="360" w:end="0"/>
        <w:jc w:val="both"/>
        <w:rPr>
          <w:bCs/>
          <w:spacing w:val="-3"/>
        </w:rPr>
      </w:pPr>
      <w:r>
        <w:rPr>
          <w:bCs/>
          <w:spacing w:val="-3"/>
        </w:rPr>
        <w:t>On July 7, 2000, court granted Base Metal’s motion to release aluminum, but established an escrow account for sales proceeds; approximately $2.6 million deposited to date</w:t>
      </w:r>
    </w:p>
    <w:p>
      <w:pPr>
        <w:pStyle w:val="Normal"/>
        <w:numPr>
          <w:ilvl w:val="0"/>
          <w:numId w:val="13"/>
        </w:numPr>
        <w:tabs>
          <w:tab w:val="clear" w:pos="720"/>
        </w:tabs>
        <w:ind w:hanging="360" w:start="360" w:end="0"/>
        <w:jc w:val="both"/>
        <w:rPr>
          <w:bCs/>
          <w:spacing w:val="-3"/>
        </w:rPr>
      </w:pPr>
      <w:r>
        <w:rPr>
          <w:bCs/>
          <w:spacing w:val="-3"/>
        </w:rPr>
        <w:t xml:space="preserve">On July 20, 2000, MG Metals moved to vacate escrow account based on MG Metals’ ownership of aluminum and MG Metals’ solvency; on October 18, 2000, court </w:t>
      </w:r>
      <w:r>
        <w:rPr>
          <w:b/>
          <w:spacing w:val="-3"/>
        </w:rPr>
        <w:t xml:space="preserve">ordered </w:t>
      </w:r>
      <w:r>
        <w:rPr>
          <w:bCs/>
          <w:spacing w:val="-3"/>
        </w:rPr>
        <w:t xml:space="preserve">escrow account vacated by October 23, 2000, and </w:t>
      </w:r>
      <w:r>
        <w:rPr>
          <w:b/>
          <w:spacing w:val="-3"/>
        </w:rPr>
        <w:t xml:space="preserve">granted </w:t>
      </w:r>
      <w:r>
        <w:rPr>
          <w:bCs/>
          <w:spacing w:val="-3"/>
        </w:rPr>
        <w:t xml:space="preserve">Base Metals had until then to file a quasi-in-rem </w:t>
      </w:r>
      <w:r>
        <w:rPr>
          <w:b/>
          <w:spacing w:val="-3"/>
        </w:rPr>
        <w:t xml:space="preserve">action </w:t>
      </w:r>
      <w:r>
        <w:rPr>
          <w:bCs/>
          <w:spacing w:val="-3"/>
        </w:rPr>
        <w:t xml:space="preserve">against MG Metals; </w:t>
      </w:r>
      <w:r>
        <w:rPr>
          <w:b/>
          <w:spacing w:val="-3"/>
        </w:rPr>
        <w:t>Base Metals initiated no such action</w:t>
      </w:r>
    </w:p>
    <w:p>
      <w:pPr>
        <w:pStyle w:val="Normal"/>
        <w:numPr>
          <w:ilvl w:val="0"/>
          <w:numId w:val="13"/>
        </w:numPr>
        <w:tabs>
          <w:tab w:val="clear" w:pos="720"/>
        </w:tabs>
        <w:ind w:hanging="360" w:start="360" w:end="0"/>
        <w:jc w:val="both"/>
        <w:rPr>
          <w:bCs/>
          <w:spacing w:val="-3"/>
        </w:rPr>
      </w:pPr>
      <w:r>
        <w:rPr>
          <w:b/>
          <w:spacing w:val="-3"/>
        </w:rPr>
        <w:t>On October 26, 2000, court vacated escrow account and the funds have been wire-transferred to MG Metals</w:t>
      </w:r>
    </w:p>
    <w:p>
      <w:pPr>
        <w:pStyle w:val="Normal"/>
        <w:numPr>
          <w:ilvl w:val="0"/>
          <w:numId w:val="13"/>
        </w:numPr>
        <w:tabs>
          <w:tab w:val="clear" w:pos="720"/>
        </w:tabs>
        <w:ind w:hanging="360" w:start="360" w:end="0"/>
        <w:jc w:val="both"/>
        <w:rPr>
          <w:bCs/>
          <w:spacing w:val="-3"/>
        </w:rPr>
      </w:pPr>
      <w:r>
        <w:rPr>
          <w:b/>
          <w:spacing w:val="-3"/>
        </w:rPr>
        <w:t>On November 1, 2000, Base Metals formally advised court that it would not pursue MG Metals in this action</w:t>
      </w:r>
    </w:p>
    <w:p>
      <w:pPr>
        <w:pStyle w:val="Normal"/>
        <w:jc w:val="both"/>
        <w:rPr>
          <w:bCs/>
          <w:spacing w:val="-3"/>
        </w:rPr>
      </w:pPr>
      <w:r>
        <w:rPr>
          <w:bCs/>
          <w:spacing w:val="-3"/>
        </w:rPr>
      </w:r>
    </w:p>
    <w:p>
      <w:pPr>
        <w:pStyle w:val="Normal"/>
        <w:jc w:val="both"/>
        <w:rPr>
          <w:spacing w:val="-3"/>
        </w:rPr>
      </w:pPr>
      <w:r>
        <w:rPr>
          <w:spacing w:val="-3"/>
        </w:rPr>
      </w:r>
    </w:p>
    <w:p>
      <w:pPr>
        <w:pStyle w:val="Heading7"/>
        <w:ind w:hanging="0" w:start="0"/>
        <w:rPr/>
      </w:pPr>
      <w:r>
        <w:rPr/>
        <w:t>Berry Group, Inc., et al. v. Enron North America Corp.</w:t>
        <w:tab/>
        <w:t>[UPDATED]</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unspecified actual damages,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
          <w:spacing w:val="-3"/>
        </w:rPr>
        <w:t>J. Kevin McConville, former ENA vice-president, has been subpoenaed to appear for his deposition on November 9, 2000; we understand that McConville’s lawyer is seeking postponement</w:t>
      </w:r>
    </w:p>
    <w:p>
      <w:pPr>
        <w:pStyle w:val="Normal"/>
        <w:jc w:val="both"/>
        <w:rPr>
          <w:bCs/>
          <w:spacing w:val="-3"/>
        </w:rPr>
      </w:pPr>
      <w:r>
        <w:rPr>
          <w:bCs/>
          <w:spacing w:val="-3"/>
        </w:rPr>
      </w:r>
    </w:p>
    <w:p>
      <w:pPr>
        <w:pStyle w:val="Normal"/>
        <w:jc w:val="both"/>
        <w:rPr>
          <w:spacing w:val="-3"/>
        </w:rPr>
      </w:pPr>
      <w:r>
        <w:rPr>
          <w:spacing w:val="-3"/>
        </w:rPr>
      </w:r>
    </w:p>
    <w:p>
      <w:pPr>
        <w:pStyle w:val="Normal"/>
        <w:tabs>
          <w:tab w:val="clear" w:pos="720"/>
          <w:tab w:val="right" w:pos="9360" w:leader="none"/>
        </w:tabs>
        <w:jc w:val="both"/>
        <w:rPr>
          <w:b/>
          <w:i/>
          <w:i/>
          <w:spacing w:val="-3"/>
        </w:rPr>
      </w:pPr>
      <w:r>
        <w:rPr>
          <w:b/>
          <w:i/>
          <w:spacing w:val="-3"/>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20"/>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20"/>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20"/>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20"/>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20"/>
        </w:numPr>
        <w:tabs>
          <w:tab w:val="clear" w:pos="720"/>
          <w:tab w:val="right" w:pos="9360" w:leader="none"/>
        </w:tabs>
        <w:jc w:val="both"/>
        <w:rPr>
          <w:spacing w:val="-3"/>
        </w:rPr>
      </w:pPr>
      <w:r>
        <w:rPr>
          <w:spacing w:val="-3"/>
        </w:rPr>
        <w:t>DPLP filed notice of appeal</w:t>
      </w:r>
    </w:p>
    <w:p>
      <w:pPr>
        <w:pStyle w:val="Normal"/>
        <w:numPr>
          <w:ilvl w:val="0"/>
          <w:numId w:val="20"/>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20"/>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i/>
          <w:i/>
          <w:spacing w:val="-3"/>
        </w:rPr>
      </w:pPr>
      <w:r>
        <w:rPr>
          <w:b/>
          <w:i/>
          <w:spacing w:val="-3"/>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20"/>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20"/>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20"/>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b/>
          <w:spacing w:val="-3"/>
        </w:rPr>
      </w:pPr>
      <w:r>
        <w:rPr>
          <w:b/>
          <w:spacing w:val="-3"/>
        </w:rPr>
      </w:r>
    </w:p>
    <w:p>
      <w:pPr>
        <w:pStyle w:val="Heading7"/>
        <w:ind w:hanging="0" w:start="0"/>
        <w:rPr/>
      </w:pPr>
      <w:r>
        <w:rPr/>
        <w:t>In re ENA Claim Against Triad</w:t>
        <w:tab/>
        <w:t>[NO UPDATE]</w:t>
      </w:r>
    </w:p>
    <w:p>
      <w:pPr>
        <w:pStyle w:val="BodyText"/>
        <w:rPr>
          <w:bCs/>
        </w:rPr>
      </w:pPr>
      <w:r>
        <w:rPr>
          <w:bCs/>
        </w:rPr>
        <w:t>(not yet filed) (Davis)</w:t>
      </w:r>
    </w:p>
    <w:p>
      <w:pPr>
        <w:pStyle w:val="Normal"/>
        <w:numPr>
          <w:ilvl w:val="0"/>
          <w:numId w:val="3"/>
        </w:numPr>
        <w:tabs>
          <w:tab w:val="clear" w:pos="720"/>
        </w:tabs>
        <w:ind w:hanging="360" w:start="360" w:end="0"/>
        <w:jc w:val="both"/>
        <w:rPr>
          <w:bCs/>
          <w:spacing w:val="-3"/>
        </w:rPr>
      </w:pPr>
      <w:r>
        <w:rPr>
          <w:bCs/>
          <w:spacing w:val="-3"/>
        </w:rPr>
        <w:t>The Unit is investigating arbitration against Triad to collect approximately $1,800,000 in due and unpaid spot gas sales charges</w:t>
      </w:r>
    </w:p>
    <w:p>
      <w:pPr>
        <w:pStyle w:val="Normal"/>
        <w:tabs>
          <w:tab w:val="clear" w:pos="720"/>
          <w:tab w:val="right" w:pos="9360" w:leader="none"/>
        </w:tabs>
        <w:jc w:val="both"/>
        <w:rPr>
          <w:b/>
          <w:bCs/>
          <w:spacing w:val="-3"/>
        </w:rPr>
      </w:pPr>
      <w:r>
        <w:rPr>
          <w:b/>
          <w:bCs/>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Havmann</w:t>
        <w:tab/>
        <w:t>[NO UPDATE]</w:t>
      </w:r>
    </w:p>
    <w:p>
      <w:pPr>
        <w:pStyle w:val="BodyText"/>
        <w:rPr/>
      </w:pPr>
      <w:r>
        <w:rPr/>
        <w:t>(Arbitration-London) (Davis) (David Best, Clyde &amp; Co., London—local counsel)</w:t>
      </w:r>
    </w:p>
    <w:p>
      <w:pPr>
        <w:pStyle w:val="Normal"/>
        <w:numPr>
          <w:ilvl w:val="0"/>
          <w:numId w:val="3"/>
        </w:numPr>
        <w:tabs>
          <w:tab w:val="clear" w:pos="720"/>
        </w:tabs>
        <w:ind w:hanging="360" w:start="360" w:end="0"/>
        <w:jc w:val="both"/>
        <w:rPr>
          <w:spacing w:val="-3"/>
        </w:rPr>
      </w:pPr>
      <w:r>
        <w:rPr>
          <w:spacing w:val="-3"/>
        </w:rPr>
        <w:t>ELFI seeks recovery from its charter’s liability underwriters for settlement of approximately $590,000 paid to ship owners for cleaning ship of contaminated LPG</w:t>
      </w:r>
    </w:p>
    <w:p>
      <w:pPr>
        <w:pStyle w:val="Normal"/>
        <w:numPr>
          <w:ilvl w:val="0"/>
          <w:numId w:val="3"/>
        </w:numPr>
        <w:tabs>
          <w:tab w:val="clear" w:pos="720"/>
        </w:tabs>
        <w:ind w:hanging="360" w:start="360" w:end="0"/>
        <w:jc w:val="both"/>
        <w:rPr>
          <w:spacing w:val="-3"/>
        </w:rPr>
      </w:pPr>
      <w:r>
        <w:rPr>
          <w:spacing w:val="-3"/>
        </w:rPr>
        <w:t>Arbitration scheduled for December 1-8, 2000</w:t>
      </w:r>
    </w:p>
    <w:p>
      <w:pPr>
        <w:pStyle w:val="Normal"/>
        <w:tabs>
          <w:tab w:val="clear" w:pos="720"/>
          <w:tab w:val="right" w:pos="9360" w:leader="none"/>
        </w:tabs>
        <w:ind w:hanging="540" w:start="540" w:end="0"/>
        <w:jc w:val="both"/>
        <w:rPr>
          <w:b/>
          <w:spacing w:val="-3"/>
        </w:rPr>
      </w:pPr>
      <w:r>
        <w:rPr>
          <w:b/>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Infineum USA L.P. v Cogen Technologies Linden Venture, L.P.</w:t>
        <w:tab/>
        <w:t>[UPDATED]</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Cs/>
          <w:spacing w:val="-3"/>
        </w:rPr>
      </w:pPr>
      <w:r>
        <w:rPr>
          <w:bCs/>
          <w:spacing w:val="-3"/>
        </w:rPr>
        <w:t xml:space="preserve">Interrogatories and requests for production were exchanged by the parties on October 10, 2000; </w:t>
      </w:r>
      <w:r>
        <w:rPr>
          <w:b/>
          <w:spacing w:val="-3"/>
        </w:rPr>
        <w:t>responses exchanged October 30, 2000; limited deposition discovery on issue of whether Infineum considered Cogen’s competitor for antitrust purposes expected within next 45 days</w:t>
      </w:r>
    </w:p>
    <w:p>
      <w:pPr>
        <w:pStyle w:val="Normal"/>
        <w:tabs>
          <w:tab w:val="clear" w:pos="720"/>
          <w:tab w:val="right" w:pos="9360" w:leader="none"/>
        </w:tabs>
        <w:ind w:hanging="540" w:start="540" w:end="0"/>
        <w:jc w:val="both"/>
        <w:rPr>
          <w:b/>
          <w:bCs/>
          <w:spacing w:val="-3"/>
        </w:rPr>
      </w:pPr>
      <w:r>
        <w:rPr>
          <w:b/>
          <w:bCs/>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20"/>
        </w:numPr>
        <w:tabs>
          <w:tab w:val="clear" w:pos="720"/>
          <w:tab w:val="right" w:pos="9360" w:leader="none"/>
        </w:tabs>
        <w:jc w:val="both"/>
        <w:rPr>
          <w:b/>
          <w:spacing w:val="-3"/>
        </w:rPr>
      </w:pPr>
      <w:r>
        <w:rPr>
          <w:spacing w:val="-3"/>
        </w:rPr>
        <w:t>Alleged breach by EGLE of oral brokers’ agreement with Interfert for fertilizer trades in France; alleged tortious interference by EGLI with same contract</w:t>
      </w:r>
    </w:p>
    <w:p>
      <w:pPr>
        <w:pStyle w:val="Normal"/>
        <w:numPr>
          <w:ilvl w:val="0"/>
          <w:numId w:val="20"/>
        </w:numPr>
        <w:tabs>
          <w:tab w:val="clear" w:pos="720"/>
          <w:tab w:val="right" w:pos="9360" w:leader="none"/>
        </w:tabs>
        <w:jc w:val="both"/>
        <w:rPr>
          <w:b/>
          <w:spacing w:val="-3"/>
        </w:rPr>
      </w:pPr>
      <w:r>
        <w:rPr>
          <w:spacing w:val="-3"/>
        </w:rPr>
        <w:t>Interfert claims damages for loss of commissions, loss of clientele, wrongful termination of contract without notice, unfair competition and legal costs</w:t>
      </w:r>
    </w:p>
    <w:p>
      <w:pPr>
        <w:pStyle w:val="Normal"/>
        <w:numPr>
          <w:ilvl w:val="0"/>
          <w:numId w:val="20"/>
        </w:numPr>
        <w:tabs>
          <w:tab w:val="clear" w:pos="720"/>
          <w:tab w:val="right" w:pos="9360" w:leader="none"/>
        </w:tabs>
        <w:jc w:val="both"/>
        <w:rPr>
          <w:b/>
          <w:spacing w:val="-3"/>
        </w:rPr>
      </w:pPr>
      <w:r>
        <w:rPr>
          <w:spacing w:val="-3"/>
        </w:rPr>
        <w:t>Interfert’s alleged damages equal approximately $853,000, exclusive of prejudgment interest, which may add approximately $570,000</w:t>
      </w:r>
    </w:p>
    <w:p>
      <w:pPr>
        <w:pStyle w:val="Normal"/>
        <w:numPr>
          <w:ilvl w:val="0"/>
          <w:numId w:val="20"/>
        </w:numPr>
        <w:tabs>
          <w:tab w:val="clear" w:pos="720"/>
          <w:tab w:val="right" w:pos="9360" w:leader="none"/>
        </w:tabs>
        <w:jc w:val="both"/>
        <w:rPr>
          <w:b/>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20"/>
        </w:numPr>
        <w:tabs>
          <w:tab w:val="clear" w:pos="720"/>
          <w:tab w:val="right" w:pos="9360" w:leader="none"/>
        </w:tabs>
        <w:jc w:val="both"/>
        <w:rPr>
          <w:b/>
          <w:spacing w:val="-3"/>
        </w:rPr>
      </w:pPr>
      <w:r>
        <w:rPr>
          <w:spacing w:val="-3"/>
        </w:rPr>
        <w:t>EGLI and EGLE have appealed to Supreme Court of France; however, appeal does not stay preliminary award, which EGLE has timely paid</w:t>
      </w:r>
    </w:p>
    <w:p>
      <w:pPr>
        <w:pStyle w:val="Normal"/>
        <w:numPr>
          <w:ilvl w:val="0"/>
          <w:numId w:val="20"/>
        </w:numPr>
        <w:tabs>
          <w:tab w:val="clear" w:pos="720"/>
          <w:tab w:val="right" w:pos="9360" w:leader="none"/>
        </w:tabs>
        <w:jc w:val="both"/>
        <w:rPr>
          <w:b/>
          <w:spacing w:val="-3"/>
        </w:rPr>
      </w:pPr>
      <w:r>
        <w:rPr>
          <w:spacing w:val="-3"/>
        </w:rPr>
        <w:t>EGLI and EGLE have retained expert to liaise with court-appointed expert</w:t>
      </w:r>
    </w:p>
    <w:p>
      <w:pPr>
        <w:pStyle w:val="Normal"/>
        <w:numPr>
          <w:ilvl w:val="0"/>
          <w:numId w:val="20"/>
        </w:numPr>
        <w:tabs>
          <w:tab w:val="clear" w:pos="720"/>
          <w:tab w:val="right" w:pos="9360" w:leader="none"/>
        </w:tabs>
        <w:jc w:val="both"/>
        <w:rPr>
          <w:spacing w:val="-3"/>
        </w:rPr>
      </w:pPr>
      <w:r>
        <w:rPr>
          <w:spacing w:val="-3"/>
        </w:rPr>
        <w:t>On October 19, 2000, parties had final meeting with court-appointed expert</w:t>
      </w:r>
    </w:p>
    <w:p>
      <w:pPr>
        <w:pStyle w:val="Normal"/>
        <w:numPr>
          <w:ilvl w:val="0"/>
          <w:numId w:val="20"/>
        </w:numPr>
        <w:tabs>
          <w:tab w:val="clear" w:pos="720"/>
          <w:tab w:val="right" w:pos="9360" w:leader="none"/>
        </w:tabs>
        <w:jc w:val="both"/>
        <w:rPr>
          <w:spacing w:val="-3"/>
        </w:rPr>
      </w:pPr>
      <w:r>
        <w:rPr>
          <w:spacing w:val="-3"/>
        </w:rPr>
        <w:t>Court appointed expert’s final report due in early November</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7"/>
        </w:numPr>
        <w:tabs>
          <w:tab w:val="clear" w:pos="720"/>
        </w:tabs>
        <w:ind w:hanging="360" w:start="360" w:end="0"/>
        <w:jc w:val="both"/>
        <w:rPr>
          <w:spacing w:val="-3"/>
        </w:rPr>
      </w:pPr>
      <w:r>
        <w:rPr>
          <w:spacing w:val="-3"/>
        </w:rPr>
        <w:t>Mitsubishi (time-charterer of M/V PACIFIC VIRGO) claims $760,000 in freight and demurrage for transportation of Elang Crude from Indonesia to Thailand and Philippines</w:t>
      </w:r>
    </w:p>
    <w:p>
      <w:pPr>
        <w:pStyle w:val="Normal"/>
        <w:numPr>
          <w:ilvl w:val="0"/>
          <w:numId w:val="17"/>
        </w:numPr>
        <w:tabs>
          <w:tab w:val="clear" w:pos="720"/>
        </w:tabs>
        <w:ind w:hanging="360" w:start="360" w:end="0"/>
        <w:jc w:val="both"/>
        <w:rPr>
          <w:spacing w:val="-3"/>
        </w:rPr>
      </w:pPr>
      <w:r>
        <w:rPr>
          <w:spacing w:val="-3"/>
        </w:rPr>
        <w:t>ECT denies liability, based on contamination of cargo aboard ship, and claims damages of not less than $300,000</w:t>
      </w:r>
    </w:p>
    <w:p>
      <w:pPr>
        <w:pStyle w:val="Normal"/>
        <w:numPr>
          <w:ilvl w:val="0"/>
          <w:numId w:val="17"/>
        </w:numPr>
        <w:tabs>
          <w:tab w:val="clear" w:pos="720"/>
        </w:tabs>
        <w:ind w:hanging="360" w:start="360" w:end="0"/>
        <w:jc w:val="both"/>
        <w:rPr>
          <w:spacing w:val="-3"/>
        </w:rPr>
      </w:pPr>
      <w:r>
        <w:rPr>
          <w:spacing w:val="-3"/>
        </w:rPr>
        <w:t>On October 13, 2000, Mitsubishi sent notice of arbitration and list of acceptable arbitrators</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Normal"/>
        <w:suppressAutoHyphens w:val="true"/>
        <w:jc w:val="center"/>
        <w:rPr>
          <w:spacing w:val="-3"/>
        </w:rPr>
      </w:pPr>
      <w:r>
        <w:rPr>
          <w:b/>
          <w:spacing w:val="-3"/>
        </w:rPr>
        <w:t>“</w:t>
      </w:r>
      <w:r>
        <w:rPr>
          <w:b/>
          <w:spacing w:val="-3"/>
          <w:u w:val="single"/>
        </w:rPr>
        <w:t>ENRON INTERNATIONAL</w:t>
      </w:r>
      <w:r>
        <w:rPr>
          <w:b/>
          <w:spacing w:val="-3"/>
        </w:rPr>
        <w:t>”</w:t>
      </w:r>
    </w:p>
    <w:p>
      <w:pPr>
        <w:pStyle w:val="Header"/>
        <w:tabs>
          <w:tab w:val="clear" w:pos="4320"/>
          <w:tab w:val="clear" w:pos="8640"/>
        </w:tabs>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pPr>
      <w:r>
        <w:rPr>
          <w:b/>
          <w:i/>
          <w:spacing w:val="-3"/>
        </w:rPr>
        <w:t>CPIL v Union of India, et al. (including EOGIL) and</w:t>
      </w:r>
      <w:r>
        <w:rPr>
          <w:spacing w:val="-3"/>
        </w:rPr>
        <w:tab/>
      </w:r>
      <w:r>
        <w:rPr>
          <w:b/>
          <w:i/>
          <w:spacing w:val="-3"/>
        </w:rPr>
        <w:t>[FINAL UPDATE]</w:t>
      </w:r>
    </w:p>
    <w:p>
      <w:pPr>
        <w:pStyle w:val="Normal"/>
        <w:tabs>
          <w:tab w:val="clear" w:pos="720"/>
          <w:tab w:val="left" w:pos="-1440" w:leader="none"/>
          <w:tab w:val="left" w:pos="-720" w:leader="none"/>
          <w:tab w:val="right" w:pos="9360" w:leader="none"/>
        </w:tabs>
        <w:suppressAutoHyphens w:val="true"/>
        <w:jc w:val="both"/>
        <w:rPr>
          <w:spacing w:val="-3"/>
        </w:rPr>
      </w:pPr>
      <w:r>
        <w:rPr>
          <w:b/>
          <w:i/>
          <w:spacing w:val="-3"/>
        </w:rPr>
        <w:t>Wadhera v. Union of India, et al. (including EOGIL)</w:t>
      </w:r>
    </w:p>
    <w:p>
      <w:pPr>
        <w:pStyle w:val="Normal"/>
        <w:tabs>
          <w:tab w:val="clear" w:pos="720"/>
          <w:tab w:val="left" w:pos="-1440" w:leader="none"/>
          <w:tab w:val="left" w:pos="-720" w:leader="none"/>
          <w:tab w:val="right" w:pos="9360" w:leader="none"/>
        </w:tabs>
        <w:suppressAutoHyphens w:val="true"/>
        <w:jc w:val="both"/>
        <w:rPr>
          <w:spacing w:val="-3"/>
        </w:rPr>
      </w:pPr>
      <w:r>
        <w:rPr>
          <w:spacing w:val="-3"/>
        </w:rPr>
        <w:t>(High Court of Delhi) (Vote) (Linklaters &amp; Paines and Atul Rajadhyaksha—local counsel)</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India public interest suits challenge award of PSC for Panna/Mukta oil field to Reliance/EOGIL/ONGC consortium; allege bid improprieties (CPIL only) and question terms of the PSC; suits seek investigation of award by CBI under court supervision and cancellation of PSC</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 xml:space="preserve">Notice issued to EOGIL in </w:t>
      </w:r>
      <w:r>
        <w:rPr>
          <w:i/>
          <w:spacing w:val="-3"/>
        </w:rPr>
        <w:t>Wadhera</w:t>
      </w:r>
      <w:r>
        <w:rPr>
          <w:spacing w:val="-3"/>
        </w:rPr>
        <w:t xml:space="preserve">, but not in </w:t>
      </w:r>
      <w:r>
        <w:rPr>
          <w:i/>
          <w:spacing w:val="-3"/>
        </w:rPr>
        <w:t>CPIL</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 xml:space="preserve">EOGIL filed its affidavit denying allegations in </w:t>
      </w:r>
      <w:r>
        <w:rPr>
          <w:i/>
          <w:spacing w:val="-3"/>
        </w:rPr>
        <w:t>Wadhera</w:t>
      </w:r>
    </w:p>
    <w:p>
      <w:pPr>
        <w:pStyle w:val="Normal"/>
        <w:numPr>
          <w:ilvl w:val="0"/>
          <w:numId w:val="20"/>
        </w:numPr>
        <w:tabs>
          <w:tab w:val="clear" w:pos="720"/>
          <w:tab w:val="left" w:pos="-1440" w:leader="none"/>
          <w:tab w:val="left" w:pos="-720" w:leader="none"/>
          <w:tab w:val="right" w:pos="9360" w:leader="none"/>
        </w:tabs>
        <w:suppressAutoHyphens w:val="true"/>
        <w:jc w:val="both"/>
        <w:rPr>
          <w:b/>
          <w:spacing w:val="-3"/>
        </w:rPr>
      </w:pPr>
      <w:r>
        <w:rPr>
          <w:spacing w:val="-3"/>
        </w:rPr>
        <w:t>CBI interviewed EOG employees on August 1 and 2, 1998</w:t>
      </w:r>
    </w:p>
    <w:p>
      <w:pPr>
        <w:pStyle w:val="Normal"/>
        <w:numPr>
          <w:ilvl w:val="0"/>
          <w:numId w:val="20"/>
        </w:numPr>
        <w:tabs>
          <w:tab w:val="clear" w:pos="720"/>
          <w:tab w:val="left" w:pos="-1440" w:leader="none"/>
          <w:tab w:val="left" w:pos="-720" w:leader="none"/>
          <w:tab w:val="right" w:pos="9360" w:leader="none"/>
        </w:tabs>
        <w:suppressAutoHyphens w:val="true"/>
        <w:jc w:val="both"/>
        <w:rPr>
          <w:i/>
          <w:i/>
          <w:spacing w:val="-3"/>
        </w:rPr>
      </w:pPr>
      <w:r>
        <w:rPr>
          <w:spacing w:val="-3"/>
        </w:rPr>
        <w:t>Court has announced ruling in favor of all respondents, including EOGIL; petition for appeal has been filed by petitioner; India appellate court heard appeal of petitioners</w:t>
      </w:r>
      <w:r>
        <w:rPr>
          <w:b/>
          <w:bCs/>
          <w:spacing w:val="-3"/>
        </w:rPr>
        <w:t xml:space="preserve"> and denied appeal</w:t>
      </w:r>
    </w:p>
    <w:p>
      <w:pPr>
        <w:pStyle w:val="Header"/>
        <w:tabs>
          <w:tab w:val="clear" w:pos="4320"/>
          <w:tab w:val="clear" w:pos="8640"/>
        </w:tabs>
        <w:rPr>
          <w:i/>
          <w:i/>
          <w:spacing w:val="-3"/>
        </w:rPr>
      </w:pPr>
      <w:r>
        <w:rPr>
          <w:i/>
          <w:spacing w:val="-3"/>
        </w:rPr>
      </w:r>
    </w:p>
    <w:p>
      <w:pPr>
        <w:pStyle w:val="Header"/>
        <w:tabs>
          <w:tab w:val="clear" w:pos="4320"/>
          <w:tab w:val="clear" w:pos="8640"/>
        </w:tabs>
        <w:rPr>
          <w:spacing w:val="-3"/>
        </w:rPr>
      </w:pPr>
      <w:r>
        <w:rPr>
          <w:spacing w:val="-3"/>
        </w:rPr>
      </w:r>
    </w:p>
    <w:p>
      <w:pPr>
        <w:pStyle w:val="Normal"/>
        <w:keepNext w:val="true"/>
        <w:tabs>
          <w:tab w:val="clear" w:pos="720"/>
          <w:tab w:val="right" w:pos="9360" w:leader="none"/>
        </w:tabs>
        <w:suppressAutoHyphens w:val="true"/>
        <w:jc w:val="both"/>
        <w:rPr>
          <w:i/>
          <w:i/>
        </w:rPr>
      </w:pPr>
      <w:r>
        <w:rPr>
          <w:b/>
          <w:i/>
        </w:rPr>
        <w:t>Haad, et al. v. William Danilo Rodriguez and Vengas de Caracas, S.A.</w:t>
      </w:r>
      <w:r>
        <w:rPr>
          <w:i/>
        </w:rPr>
        <w:tab/>
      </w:r>
      <w:r>
        <w:rPr>
          <w:b/>
          <w:i/>
        </w:rPr>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Thourney, Rodolfo Gonzales Cabrices and Carlos Gonzales Tabata—outside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in principle, reached for approximately $200,000 USD; settlement documents circulating</w:t>
      </w:r>
    </w:p>
    <w:p>
      <w:pPr>
        <w:pStyle w:val="Header"/>
        <w:tabs>
          <w:tab w:val="clear" w:pos="4320"/>
          <w:tab w:val="clear" w:pos="8640"/>
          <w:tab w:val="right" w:pos="9360" w:leader="none"/>
        </w:tabs>
        <w:jc w:val="both"/>
        <w:rPr>
          <w:i/>
          <w:i/>
          <w:iCs/>
          <w:spacing w:val="-3"/>
        </w:rPr>
      </w:pPr>
      <w:r>
        <w:rPr>
          <w:i/>
          <w:iCs/>
          <w:spacing w:val="-3"/>
        </w:rPr>
      </w:r>
    </w:p>
    <w:p>
      <w:pPr>
        <w:pStyle w:val="Header"/>
        <w:tabs>
          <w:tab w:val="clear" w:pos="4320"/>
          <w:tab w:val="clear" w:pos="8640"/>
          <w:tab w:val="right" w:pos="9360" w:leader="none"/>
        </w:tabs>
        <w:jc w:val="both"/>
        <w:rPr>
          <w:i/>
          <w:i/>
          <w:iCs/>
        </w:rPr>
      </w:pPr>
      <w:r>
        <w:rPr>
          <w:i/>
          <w:iCs/>
        </w:rPr>
      </w:r>
    </w:p>
    <w:p>
      <w:pPr>
        <w:pStyle w:val="Normal"/>
        <w:widowControl w:val="false"/>
        <w:tabs>
          <w:tab w:val="clear" w:pos="720"/>
          <w:tab w:val="right" w:pos="9360" w:leader="none"/>
        </w:tabs>
        <w:suppressAutoHyphens w:val="true"/>
        <w:jc w:val="both"/>
        <w:rPr>
          <w:b/>
          <w:i/>
          <w:i/>
        </w:rPr>
      </w:pPr>
      <w:r>
        <w:rPr>
          <w:b/>
          <w:i/>
        </w:rPr>
        <w:t>Transredes Pipeline Rupture</w:t>
        <w:tab/>
        <w:t>[UPDATED]</w:t>
      </w:r>
    </w:p>
    <w:p>
      <w:pPr>
        <w:pStyle w:val="BodyText"/>
        <w:widowControl w:val="false"/>
        <w:suppressAutoHyphens w:val="true"/>
        <w:rPr>
          <w:spacing w:val="0"/>
        </w:rPr>
      </w:pPr>
      <w:r>
        <w:rPr>
          <w:spacing w:val="0"/>
        </w:rPr>
        <w:t>(Desaguadero River, Bolivia) (Kisluk) (David Brown, Vinson &amp; Elkins, Gonzalo Peres Arenas, of Denton Wilde Sapte, Toher and Mark Glasser of Porter &amp; Hedges—outside counsel)</w:t>
      </w:r>
    </w:p>
    <w:p>
      <w:pPr>
        <w:pStyle w:val="Header"/>
        <w:numPr>
          <w:ilvl w:val="0"/>
          <w:numId w:val="12"/>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2"/>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2"/>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CAN, the reinsurer, initiated legal action in English courts against LaBoliviana Ciacruz, the primary carrier, seeking to void the reinsurance contracts</w:t>
      </w:r>
    </w:p>
    <w:p>
      <w:pPr>
        <w:pStyle w:val="Header"/>
        <w:numPr>
          <w:ilvl w:val="0"/>
          <w:numId w:val="12"/>
        </w:numPr>
        <w:tabs>
          <w:tab w:val="clear" w:pos="4320"/>
          <w:tab w:val="clear" w:pos="8640"/>
        </w:tabs>
        <w:jc w:val="both"/>
        <w:rPr/>
      </w:pPr>
      <w:r>
        <w:rPr/>
        <w:t>Cleanup efforts continue</w:t>
      </w:r>
    </w:p>
    <w:p>
      <w:pPr>
        <w:pStyle w:val="Header"/>
        <w:numPr>
          <w:ilvl w:val="0"/>
          <w:numId w:val="12"/>
        </w:numPr>
        <w:tabs>
          <w:tab w:val="clear" w:pos="4320"/>
          <w:tab w:val="clear" w:pos="8640"/>
        </w:tabs>
        <w:jc w:val="both"/>
        <w:rPr/>
      </w:pPr>
      <w:r>
        <w:rPr/>
        <w:t>Committee established and teams deployed to respond to needs and concerns of affected communities; approximately 130 communities have signed agreements toward receiving in kind assistance for alleged damages attributable to the spill</w:t>
      </w:r>
    </w:p>
    <w:p>
      <w:pPr>
        <w:pStyle w:val="Header"/>
        <w:numPr>
          <w:ilvl w:val="0"/>
          <w:numId w:val="12"/>
        </w:numPr>
        <w:tabs>
          <w:tab w:val="clear" w:pos="4320"/>
          <w:tab w:val="clear" w:pos="8640"/>
        </w:tabs>
        <w:jc w:val="both"/>
        <w:rPr/>
      </w:pPr>
      <w:r>
        <w:rPr/>
        <w:t xml:space="preserve">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t>
      </w:r>
      <w:r>
        <w:rPr>
          <w:b/>
          <w:bCs/>
        </w:rPr>
        <w:t xml:space="preserve">were </w:t>
      </w:r>
      <w:r>
        <w:rPr/>
        <w:t xml:space="preserve">being negotiated, </w:t>
      </w:r>
      <w:r>
        <w:rPr>
          <w:b/>
          <w:bCs/>
        </w:rPr>
        <w:t>when Garner filed suit against Enron Pipeline Company and Enron Operations Services Corp. for over $7,350,000 without naming Transredes; in-house discussions ongoing as to handling of suit</w:t>
      </w:r>
    </w:p>
    <w:p>
      <w:pPr>
        <w:pStyle w:val="Header"/>
        <w:numPr>
          <w:ilvl w:val="0"/>
          <w:numId w:val="12"/>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w:t>
      </w:r>
    </w:p>
    <w:p>
      <w:pPr>
        <w:pStyle w:val="Header"/>
        <w:tabs>
          <w:tab w:val="clear" w:pos="4320"/>
          <w:tab w:val="clear" w:pos="8640"/>
        </w:tabs>
        <w:rPr>
          <w:spacing w:val="-3"/>
        </w:rPr>
      </w:pPr>
      <w:r>
        <w:rPr>
          <w:spacing w:val="-3"/>
        </w:rPr>
      </w:r>
      <w:r>
        <w:br w:type="page"/>
      </w:r>
    </w:p>
    <w:p>
      <w:pPr>
        <w:pStyle w:val="Header"/>
        <w:tabs>
          <w:tab w:val="clear" w:pos="4320"/>
          <w:tab w:val="clear" w:pos="8640"/>
        </w:tabs>
        <w:rPr>
          <w:spacing w:val="-3"/>
        </w:rPr>
      </w:pPr>
      <w:r>
        <w:rPr>
          <w:spacing w:val="-3"/>
        </w:rPr>
      </w:r>
    </w:p>
    <w:p>
      <w:pPr>
        <w:pStyle w:val="Heading7"/>
        <w:widowControl w:val="false"/>
        <w:suppressAutoHyphens w:val="true"/>
        <w:ind w:hanging="0" w:start="0"/>
        <w:rPr>
          <w:spacing w:val="0"/>
        </w:rPr>
      </w:pPr>
      <w:r>
        <w:rPr>
          <w:spacing w:val="0"/>
        </w:rPr>
        <w:t>In Re Transredes Pipeline Rupture (July 10, 2000)</w:t>
        <w:tab/>
        <w:t>[UPDATED]</w:t>
      </w:r>
    </w:p>
    <w:p>
      <w:pPr>
        <w:pStyle w:val="Header"/>
        <w:tabs>
          <w:tab w:val="clear" w:pos="4320"/>
          <w:tab w:val="clear" w:pos="8640"/>
        </w:tabs>
        <w:rPr>
          <w:spacing w:val="-3"/>
        </w:rPr>
      </w:pPr>
      <w:r>
        <w:rPr>
          <w:spacing w:val="-3"/>
        </w:rPr>
        <w:t>(Pirque River, Bolivia) (Kisluk)</w:t>
      </w:r>
    </w:p>
    <w:p>
      <w:pPr>
        <w:pStyle w:val="Header"/>
        <w:numPr>
          <w:ilvl w:val="0"/>
          <w:numId w:val="14"/>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4"/>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4"/>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4"/>
        </w:numPr>
        <w:tabs>
          <w:tab w:val="clear" w:pos="4320"/>
          <w:tab w:val="clear" w:pos="8640"/>
          <w:tab w:val="left" w:pos="0" w:leader="none"/>
        </w:tabs>
        <w:ind w:hanging="360" w:start="360" w:end="0"/>
        <w:rPr>
          <w:spacing w:val="-3"/>
        </w:rPr>
      </w:pPr>
      <w:r>
        <w:rPr>
          <w:spacing w:val="-3"/>
        </w:rPr>
        <w:t xml:space="preserve">Remediation and mitigation efforts </w:t>
      </w:r>
      <w:r>
        <w:rPr>
          <w:b/>
          <w:bCs/>
          <w:spacing w:val="-3"/>
        </w:rPr>
        <w:t>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[UPDATED]</w:t>
      </w:r>
    </w:p>
    <w:p>
      <w:pPr>
        <w:pStyle w:val="Header"/>
        <w:tabs>
          <w:tab w:val="clear" w:pos="4320"/>
          <w:tab w:val="clear" w:pos="8640"/>
        </w:tabs>
        <w:rPr>
          <w:spacing w:val="-3"/>
        </w:rPr>
      </w:pPr>
      <w:r>
        <w:rPr>
          <w:spacing w:val="-3"/>
        </w:rPr>
        <w:t>(Parapeti River, Bolivia) (Kisluk)</w:t>
      </w:r>
    </w:p>
    <w:p>
      <w:pPr>
        <w:pStyle w:val="Header"/>
        <w:numPr>
          <w:ilvl w:val="0"/>
          <w:numId w:val="14"/>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4"/>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4"/>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4"/>
        </w:numPr>
        <w:tabs>
          <w:tab w:val="clear" w:pos="4320"/>
          <w:tab w:val="clear" w:pos="8640"/>
          <w:tab w:val="left" w:pos="0" w:leader="none"/>
        </w:tabs>
        <w:ind w:hanging="360" w:start="360" w:end="0"/>
        <w:rPr>
          <w:spacing w:val="-3"/>
        </w:rPr>
      </w:pPr>
      <w:r>
        <w:rPr>
          <w:spacing w:val="-3"/>
        </w:rPr>
        <w:t xml:space="preserve">Remediation and mitigation efforts </w:t>
      </w:r>
      <w:r>
        <w:rPr>
          <w:b/>
          <w:bCs/>
          <w:spacing w:val="-3"/>
        </w:rPr>
        <w:t>completed; carrier’s negotiations with contractor as to indemnification of Transredes ongoing</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both"/>
        <w:rPr>
          <w:b/>
          <w:spacing w:val="-3"/>
        </w:rPr>
      </w:pPr>
      <w:r>
        <w:rPr>
          <w:b/>
          <w:i/>
          <w:spacing w:val="-3"/>
        </w:rPr>
        <w:t>Marshall v. ARCO and EOG</w:t>
      </w:r>
      <w:r>
        <w:rPr>
          <w:b/>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spacing w:val="-3"/>
        </w:rPr>
        <w:t>(State Court—Zapata County, Texas) (Vote/White) (Scott, Douglas and Ricardo Palacios—local counsel)</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Plaintiffs seek unspecified damages alleging improper measurement and metering of production by ARCO and EOG; plaintiffs also assert marketing claims against EOG</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Properties in question purchased by EOG from ARCO in December 1991; January 1993, EOG changed metering of lease production to accommodate plaintiffs</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Claims against EOG severed from Arco-related claims; no trial setting on EOG action</w:t>
      </w:r>
    </w:p>
    <w:p>
      <w:pPr>
        <w:pStyle w:val="Normal"/>
        <w:numPr>
          <w:ilvl w:val="0"/>
          <w:numId w:val="20"/>
        </w:numPr>
        <w:tabs>
          <w:tab w:val="clear" w:pos="720"/>
          <w:tab w:val="left" w:pos="-1440" w:leader="none"/>
          <w:tab w:val="left" w:pos="-720" w:leader="none"/>
          <w:tab w:val="right" w:pos="9360" w:leader="none"/>
        </w:tabs>
        <w:suppressAutoHyphens w:val="true"/>
        <w:jc w:val="both"/>
        <w:rPr>
          <w:spacing w:val="-3"/>
        </w:rPr>
      </w:pPr>
      <w:r>
        <w:rPr>
          <w:spacing w:val="-3"/>
        </w:rPr>
        <w:t>Judgment entered November 24, 1997, on jury verdict against Arco totaling $67 million; Arco filed its appellant’s brief on January 22, 1999; appellees’ brief filed April 28, 1999; oral argument was heard December 7, 1999; Court of Appeals issued opinion in August 2000 largely upholding trial court’s judgment; motion for rehearing filed</w:t>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
          <w:i/>
          <w:i/>
          <w:spacing w:val="-3"/>
        </w:rPr>
      </w:pPr>
      <w:r>
        <w:rPr>
          <w:b/>
          <w:i/>
          <w:spacing w:val="-3"/>
        </w:rPr>
      </w:r>
    </w:p>
    <w:p>
      <w:pPr>
        <w:pStyle w:val="Normal"/>
        <w:widowControl w:val="false"/>
        <w:tabs>
          <w:tab w:val="clear" w:pos="720"/>
          <w:tab w:val="right" w:pos="9360" w:leader="none"/>
        </w:tabs>
        <w:suppressAutoHyphens w:val="true"/>
        <w:jc w:val="both"/>
        <w:rPr>
          <w:b/>
        </w:rPr>
      </w:pPr>
      <w:r>
        <w:rPr>
          <w:b/>
          <w:i/>
        </w:rPr>
        <w:t xml:space="preserve">Class of Gas Producers and Royalty Owners v. Gas Pipelines, et al. [“Quinque”] </w:t>
      </w:r>
      <w:r>
        <w:rPr>
          <w:b/>
        </w:rPr>
        <w:tab/>
      </w:r>
      <w:r>
        <w:rPr>
          <w:b/>
          <w:i/>
        </w:rPr>
        <w:t>[NO UPDATE]</w:t>
      </w:r>
    </w:p>
    <w:p>
      <w:pPr>
        <w:pStyle w:val="BodyText2"/>
        <w:rPr>
          <w:sz w:val="24"/>
        </w:rPr>
      </w:pPr>
      <w:r>
        <w:rPr>
          <w:sz w:val="24"/>
        </w:rPr>
        <w:t>(Wichita, Kansas federal court) (MDL—Casper, Wyoming federal court) (Cheek/Davis) (Gibbs &amp; Bruns, Vinson &amp; Elkins—associate counsel; Doug Crotty—local counsel)</w:t>
      </w:r>
    </w:p>
    <w:p>
      <w:pPr>
        <w:pStyle w:val="Normal"/>
        <w:widowControl w:val="false"/>
        <w:numPr>
          <w:ilvl w:val="0"/>
          <w:numId w:val="10"/>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0"/>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0"/>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0"/>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xml:space="preserve">; MDL Panel issued Conditional Transfer Order June 19, 2000; on July 5, 2000, the U. S. filed Notice of Objection to Transfer, which the East Texas Plaintiffs joined; on July 19, 2000, the U. S. moved to vacate the conditional transfer order; 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the U.S. motions relative to the </w:t>
      </w:r>
      <w:r>
        <w:rPr>
          <w:i/>
          <w:iCs/>
        </w:rPr>
        <w:t xml:space="preserve">Grynberg </w:t>
      </w:r>
      <w:r>
        <w:rPr/>
        <w:t>valuation allegations do not apply to Quinque; await rulings</w:t>
      </w:r>
    </w:p>
    <w:p>
      <w:pPr>
        <w:pStyle w:val="Normal"/>
        <w:widowControl w:val="false"/>
        <w:numPr>
          <w:ilvl w:val="0"/>
          <w:numId w:val="10"/>
        </w:numPr>
        <w:tabs>
          <w:tab w:val="clear" w:pos="720"/>
          <w:tab w:val="right" w:pos="9360" w:leader="none"/>
        </w:tabs>
        <w:suppressAutoHyphens w:val="true"/>
        <w:jc w:val="both"/>
        <w:rPr/>
      </w:pPr>
      <w:r>
        <w:rPr>
          <w:i/>
        </w:rPr>
        <w:t>See Grynberg II</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w:t>
      </w:r>
      <w:r>
        <w:rPr>
          <w:b/>
        </w:rPr>
        <w:t xml:space="preserve"> </w:t>
      </w:r>
      <w:r>
        <w:rPr/>
        <w:t>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9"/>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9"/>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9"/>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9"/>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247 releases received; await additional releases</w:t>
      </w:r>
    </w:p>
    <w:p>
      <w:pPr>
        <w:pStyle w:val="Header"/>
        <w:keepNext w:val="true"/>
        <w:numPr>
          <w:ilvl w:val="0"/>
          <w:numId w:val="19"/>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b w:val="false"/>
          <w:bCs/>
        </w:rPr>
      </w:pPr>
      <w:r>
        <w:rPr/>
        <w:t>Halili v. FGT</w:t>
      </w:r>
      <w:r>
        <w:rPr>
          <w:b w:val="false"/>
        </w:rPr>
        <w:tab/>
      </w:r>
      <w:r>
        <w:rPr/>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4"/>
        </w:numPr>
        <w:tabs>
          <w:tab w:val="clear" w:pos="720"/>
          <w:tab w:val="right" w:pos="9360" w:leader="none"/>
        </w:tabs>
        <w:suppressAutoHyphens w:val="true"/>
        <w:jc w:val="both"/>
        <w:rPr>
          <w:i/>
          <w:i/>
          <w:spacing w:val="-3"/>
        </w:rPr>
      </w:pPr>
      <w:r>
        <w:rPr>
          <w:bCs/>
          <w:spacing w:val="-3"/>
        </w:rPr>
        <w:t xml:space="preserve">Action filed June 12, 2000 seeking </w:t>
      </w:r>
      <w:r>
        <w:rPr>
          <w:spacing w:val="-3"/>
        </w:rPr>
        <w:t>$697,000,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4"/>
        </w:numPr>
        <w:tabs>
          <w:tab w:val="clear" w:pos="720"/>
          <w:tab w:val="right" w:pos="9360" w:leader="none"/>
        </w:tabs>
        <w:suppressAutoHyphens w:val="true"/>
        <w:jc w:val="both"/>
        <w:rPr>
          <w:i/>
          <w:i/>
          <w:spacing w:val="-3"/>
        </w:rPr>
      </w:pPr>
      <w:r>
        <w:rPr>
          <w:spacing w:val="-3"/>
        </w:rPr>
        <w:t>Responsive pleadings filed September 1,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Case Management Conference set for November 7, 2000</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5"/>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5"/>
        </w:numPr>
        <w:tabs>
          <w:tab w:val="clear" w:pos="720"/>
          <w:tab w:val="right" w:pos="9360" w:leader="none"/>
        </w:tabs>
        <w:suppressAutoHyphens w:val="true"/>
        <w:jc w:val="both"/>
        <w:rPr>
          <w:spacing w:val="-3"/>
        </w:rPr>
      </w:pPr>
      <w:r>
        <w:rPr>
          <w:spacing w:val="-3"/>
        </w:rPr>
        <w:t>Kimball Trading, L.L.C. owes Northern approximately $6.4 million based on various transportation and storage agreements, net of irrevocable line of credit of approximately $320,000; Northern has no relationship with Kimball Trading Canada, Inc.; Northern has guaranty from debtor’s affiliate</w:t>
      </w:r>
    </w:p>
    <w:p>
      <w:pPr>
        <w:pStyle w:val="Normal"/>
        <w:widowControl w:val="false"/>
        <w:numPr>
          <w:ilvl w:val="0"/>
          <w:numId w:val="15"/>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5"/>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5"/>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5"/>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Trustee has filed objections to other claims as well</w:t>
      </w:r>
    </w:p>
    <w:p>
      <w:pPr>
        <w:pStyle w:val="Normal"/>
        <w:widowControl w:val="false"/>
        <w:numPr>
          <w:ilvl w:val="0"/>
          <w:numId w:val="15"/>
        </w:numPr>
        <w:tabs>
          <w:tab w:val="clear" w:pos="720"/>
          <w:tab w:val="right" w:pos="9360" w:leader="none"/>
        </w:tabs>
        <w:suppressAutoHyphens w:val="true"/>
        <w:jc w:val="both"/>
        <w:rPr>
          <w:spacing w:val="-3"/>
        </w:rPr>
      </w:pPr>
      <w:r>
        <w:rPr>
          <w:spacing w:val="-3"/>
        </w:rPr>
        <w:t>On March 23, Northern (and numerous other parties) served with adversary actions alleging preferential transfers of approximately. $436,000 as to Northern</w:t>
      </w:r>
    </w:p>
    <w:p>
      <w:pPr>
        <w:pStyle w:val="Normal"/>
        <w:widowControl w:val="false"/>
        <w:numPr>
          <w:ilvl w:val="0"/>
          <w:numId w:val="15"/>
        </w:numPr>
        <w:tabs>
          <w:tab w:val="clear" w:pos="720"/>
          <w:tab w:val="right" w:pos="9360" w:leader="none"/>
        </w:tabs>
        <w:suppressAutoHyphens w:val="true"/>
        <w:jc w:val="both"/>
        <w:rPr>
          <w:spacing w:val="-3"/>
        </w:rPr>
      </w:pPr>
      <w:r>
        <w:rPr>
          <w:spacing w:val="-3"/>
        </w:rPr>
        <w:t>By order dated June 15, 2000, Court allowed Northern’s proof of claim in the amount of $5,000,000, which waives Trustees accounts receivables claim</w:t>
      </w:r>
    </w:p>
    <w:p>
      <w:pPr>
        <w:pStyle w:val="Normal"/>
        <w:widowControl w:val="false"/>
        <w:numPr>
          <w:ilvl w:val="0"/>
          <w:numId w:val="15"/>
        </w:numPr>
        <w:tabs>
          <w:tab w:val="clear" w:pos="720"/>
          <w:tab w:val="right" w:pos="9360" w:leader="none"/>
        </w:tabs>
        <w:suppressAutoHyphens w:val="true"/>
        <w:jc w:val="both"/>
        <w:rPr>
          <w:spacing w:val="-3"/>
        </w:rPr>
      </w:pPr>
      <w:r>
        <w:rPr>
          <w:spacing w:val="-3"/>
        </w:rPr>
        <w:t>On June 28, 2000, Northern received $646,471.84 for distribution from Trustee</w:t>
      </w:r>
    </w:p>
    <w:p>
      <w:pPr>
        <w:pStyle w:val="Normal"/>
        <w:widowControl w:val="false"/>
        <w:numPr>
          <w:ilvl w:val="0"/>
          <w:numId w:val="15"/>
        </w:numPr>
        <w:tabs>
          <w:tab w:val="clear" w:pos="720"/>
          <w:tab w:val="right" w:pos="9360" w:leader="none"/>
        </w:tabs>
        <w:suppressAutoHyphens w:val="true"/>
        <w:jc w:val="both"/>
        <w:rPr>
          <w:spacing w:val="-3"/>
        </w:rPr>
      </w:pPr>
      <w:r>
        <w:rPr>
          <w:spacing w:val="-3"/>
        </w:rPr>
        <w:t>Trustee’s preferential transfer action against Northern settled at mediation on August 29, 2000, for $180,000; settlement documents circulating</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20"/>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20"/>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20"/>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20"/>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20"/>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20"/>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20"/>
        </w:numPr>
        <w:tabs>
          <w:tab w:val="clear" w:pos="720"/>
          <w:tab w:val="right" w:pos="9360" w:leader="none"/>
        </w:tabs>
        <w:suppressAutoHyphens w:val="true"/>
        <w:jc w:val="both"/>
        <w:rPr>
          <w:spacing w:val="-3"/>
        </w:rPr>
      </w:pPr>
      <w:r>
        <w:rPr>
          <w:spacing w:val="-3"/>
        </w:rPr>
        <w:t xml:space="preserve">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w:t>
      </w:r>
      <w:r>
        <w:rPr>
          <w:b/>
          <w:bCs/>
          <w:spacing w:val="-3"/>
        </w:rPr>
        <w:t xml:space="preserve">on October 6, 2000, </w:t>
      </w:r>
      <w:r>
        <w:rPr>
          <w:spacing w:val="-3"/>
        </w:rPr>
        <w:t>Exxon filed writ of mandamus—FGT did not join in that filing</w:t>
      </w:r>
    </w:p>
    <w:p>
      <w:pPr>
        <w:pStyle w:val="Normal"/>
        <w:widowControl w:val="false"/>
        <w:numPr>
          <w:ilvl w:val="0"/>
          <w:numId w:val="20"/>
        </w:numPr>
        <w:tabs>
          <w:tab w:val="clear" w:pos="720"/>
          <w:tab w:val="right" w:pos="9360" w:leader="none"/>
        </w:tabs>
        <w:suppressAutoHyphens w:val="true"/>
        <w:jc w:val="both"/>
        <w:rPr>
          <w:spacing w:val="-3"/>
        </w:rPr>
      </w:pPr>
      <w:r>
        <w:rPr>
          <w:i/>
          <w:spacing w:val="-3"/>
        </w:rPr>
        <w:t>See Grynberg I and II</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In re Northern Claim Against Oneok</w:t>
        <w:tab/>
        <w:t>[NO UPDATE]</w:t>
      </w:r>
    </w:p>
    <w:p>
      <w:pPr>
        <w:pStyle w:val="Normal"/>
        <w:tabs>
          <w:tab w:val="clear" w:pos="720"/>
          <w:tab w:val="right" w:pos="9360" w:leader="none"/>
        </w:tabs>
        <w:rPr>
          <w:bCs/>
          <w:spacing w:val="-3"/>
        </w:rPr>
      </w:pPr>
      <w:r>
        <w:rPr>
          <w:bCs/>
          <w:spacing w:val="-3"/>
        </w:rPr>
        <w:t>(not yet filed) (Davis)</w:t>
      </w:r>
    </w:p>
    <w:p>
      <w:pPr>
        <w:pStyle w:val="Normal"/>
        <w:numPr>
          <w:ilvl w:val="0"/>
          <w:numId w:val="20"/>
        </w:numPr>
        <w:tabs>
          <w:tab w:val="clear" w:pos="720"/>
          <w:tab w:val="right" w:pos="9360" w:leader="none"/>
        </w:tabs>
        <w:jc w:val="both"/>
        <w:rPr>
          <w:spacing w:val="-3"/>
        </w:rPr>
      </w:pPr>
      <w:r>
        <w:rPr>
          <w:bCs/>
          <w:spacing w:val="-3"/>
        </w:rPr>
        <w:t>The Unit is investigating an imbalance claim against Oneok and/or its predecessors in interest related to gas measurement at the Bushton facility for an amount in excess of $2,500,000</w:t>
      </w:r>
      <w:r>
        <w:rPr>
          <w:b/>
          <w:spacing w:val="-3"/>
        </w:rPr>
        <w:t xml:space="preserve"> </w:t>
      </w:r>
      <w:r>
        <w:rPr>
          <w:bCs/>
          <w:spacing w:val="-3"/>
        </w:rPr>
        <w:t>in anticipation of litigation</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The Williams Co. v. State of Montana</w:t>
        <w:tab/>
        <w:t>[NO UPDATE]</w:t>
      </w:r>
    </w:p>
    <w:p>
      <w:pPr>
        <w:pStyle w:val="Normal"/>
        <w:tabs>
          <w:tab w:val="clear" w:pos="720"/>
          <w:tab w:val="right" w:pos="9360" w:leader="none"/>
        </w:tabs>
        <w:rPr>
          <w:spacing w:val="-3"/>
        </w:rPr>
      </w:pPr>
      <w:r>
        <w:rPr>
          <w:spacing w:val="-3"/>
        </w:rPr>
        <w:t>(State Tax Appeal Board of Montana) (Davis) (Vinson &amp; Elkins—outside counsel; Thompson, Jacobson &amp; Potts—local counsel)</w:t>
      </w:r>
    </w:p>
    <w:p>
      <w:pPr>
        <w:pStyle w:val="Normal"/>
        <w:numPr>
          <w:ilvl w:val="0"/>
          <w:numId w:val="20"/>
        </w:numPr>
        <w:tabs>
          <w:tab w:val="clear" w:pos="720"/>
          <w:tab w:val="right" w:pos="9360" w:leader="none"/>
        </w:tabs>
        <w:jc w:val="both"/>
        <w:rPr>
          <w:spacing w:val="-3"/>
        </w:rPr>
      </w:pPr>
      <w:r>
        <w:rPr>
          <w:spacing w:val="-3"/>
        </w:rPr>
        <w:t>Williams subsidiary, Northwest Alaska, contests state license tax assessment of nearly $4.5 million for Canadian gas sales</w:t>
      </w:r>
    </w:p>
    <w:p>
      <w:pPr>
        <w:pStyle w:val="Normal"/>
        <w:numPr>
          <w:ilvl w:val="0"/>
          <w:numId w:val="20"/>
        </w:numPr>
        <w:tabs>
          <w:tab w:val="clear" w:pos="720"/>
          <w:tab w:val="right" w:pos="9360" w:leader="none"/>
        </w:tabs>
        <w:jc w:val="both"/>
        <w:rPr>
          <w:spacing w:val="-3"/>
        </w:rPr>
      </w:pPr>
      <w:r>
        <w:rPr>
          <w:spacing w:val="-3"/>
        </w:rPr>
        <w:t>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20"/>
        </w:numPr>
        <w:tabs>
          <w:tab w:val="clear" w:pos="720"/>
          <w:tab w:val="right" w:pos="9360" w:leader="none"/>
        </w:tabs>
        <w:jc w:val="both"/>
        <w:rPr>
          <w:spacing w:val="-3"/>
        </w:rPr>
      </w:pPr>
      <w:r>
        <w:rPr>
          <w:spacing w:val="-3"/>
        </w:rPr>
        <w:t>On December 31, 1998, Board ruled against Northwest Alaska</w:t>
      </w:r>
    </w:p>
    <w:p>
      <w:pPr>
        <w:pStyle w:val="Normal"/>
        <w:numPr>
          <w:ilvl w:val="0"/>
          <w:numId w:val="20"/>
        </w:numPr>
        <w:tabs>
          <w:tab w:val="clear" w:pos="720"/>
          <w:tab w:val="right" w:pos="9360" w:leader="none"/>
        </w:tabs>
        <w:jc w:val="both"/>
        <w:rPr>
          <w:spacing w:val="-3"/>
        </w:rPr>
      </w:pPr>
      <w:r>
        <w:rPr>
          <w:spacing w:val="-3"/>
        </w:rPr>
        <w:t>Appeal by Northwest Alaska to state district court perfected; Williams brief filed; state of Montana brief filed Octo</w:t>
      </w:r>
      <w:r>
        <w:rPr/>
        <w:t>ber 15, 1999; oral argument held January 27, 2000</w:t>
      </w:r>
    </w:p>
    <w:p>
      <w:pPr>
        <w:pStyle w:val="Normal"/>
        <w:numPr>
          <w:ilvl w:val="0"/>
          <w:numId w:val="20"/>
        </w:numPr>
        <w:tabs>
          <w:tab w:val="clear" w:pos="720"/>
          <w:tab w:val="right" w:pos="9360" w:leader="none"/>
        </w:tabs>
        <w:jc w:val="both"/>
        <w:rPr>
          <w:spacing w:val="-3"/>
        </w:rPr>
      </w:pPr>
      <w:r>
        <w:rPr/>
        <w:t>Order entered July 15, 2000, by state district court; appeal by state of Montana anticipated</w:t>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w:t>
        <w:tab/>
        <w:t>[NO UPDATE]</w:t>
      </w:r>
    </w:p>
    <w:p>
      <w:pPr>
        <w:pStyle w:val="Normal"/>
        <w:widowControl w:val="false"/>
        <w:tabs>
          <w:tab w:val="clear" w:pos="720"/>
          <w:tab w:val="right" w:pos="9360" w:leader="none"/>
        </w:tabs>
        <w:jc w:val="both"/>
        <w:rPr>
          <w:b/>
          <w:i/>
          <w:i/>
          <w:spacing w:val="-3"/>
        </w:rPr>
      </w:pPr>
      <w:r>
        <w:rPr>
          <w:b/>
          <w:i/>
          <w:spacing w:val="-3"/>
        </w:rPr>
        <w:t xml:space="preserve">Southern Natural Gas Company (including FGT, Citrus, and Citrus Interstate) </w:t>
      </w:r>
      <w:r>
        <w:rPr>
          <w:spacing w:val="-3"/>
        </w:rPr>
        <w:t>(“</w:t>
      </w:r>
      <w:r>
        <w:rPr>
          <w:i/>
          <w:spacing w:val="-3"/>
        </w:rPr>
        <w:t>Grynberg II</w:t>
      </w:r>
      <w:r>
        <w:rPr>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8"/>
        </w:numPr>
        <w:suppressAutoHyphens w:val="true"/>
        <w:jc w:val="both"/>
        <w:rPr>
          <w:i/>
          <w:i/>
          <w:spacing w:val="-3"/>
        </w:rPr>
      </w:pPr>
      <w:r>
        <w:rPr/>
        <w:t>October 20, 1999, MDL panel ordered consolidation in Wyoming</w:t>
      </w:r>
    </w:p>
    <w:p>
      <w:pPr>
        <w:pStyle w:val="Normal"/>
        <w:numPr>
          <w:ilvl w:val="0"/>
          <w:numId w:val="18"/>
        </w:numPr>
        <w:suppressAutoHyphens w:val="true"/>
        <w:jc w:val="both"/>
        <w:rPr>
          <w:i/>
          <w:i/>
          <w:spacing w:val="-3"/>
        </w:rPr>
      </w:pPr>
      <w:r>
        <w:rPr/>
        <w:t>Enron entities joined filing on November 19, 1999 of Coordinated Defendants’ Motion to Dismiss; on January 14, 2000, Grynberg responded; defendants replied on</w:t>
      </w:r>
      <w:r>
        <w:rPr>
          <w:b/>
          <w:bCs/>
        </w:rPr>
        <w:t xml:space="preserve"> </w:t>
      </w:r>
      <w:r>
        <w:rPr/>
        <w:t>February 14, 2000; oral argument held March 17, 2000; await ruling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the MDL Panel ordered the Wright and Osterhoudt East Texas gas cases transferred to Wyoming and consolidated with MDL-1293</w:t>
      </w:r>
    </w:p>
    <w:p>
      <w:pPr>
        <w:pStyle w:val="Normal"/>
        <w:widowControl w:val="false"/>
        <w:numPr>
          <w:ilvl w:val="0"/>
          <w:numId w:val="10"/>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await ruling</w:t>
      </w:r>
    </w:p>
    <w:p>
      <w:pPr>
        <w:pStyle w:val="Normal"/>
        <w:widowControl w:val="false"/>
        <w:numPr>
          <w:ilvl w:val="0"/>
          <w:numId w:val="10"/>
        </w:numPr>
        <w:tabs>
          <w:tab w:val="clear" w:pos="720"/>
          <w:tab w:val="right" w:pos="9360" w:leader="none"/>
        </w:tabs>
        <w:suppressAutoHyphens w:val="true"/>
        <w:jc w:val="both"/>
        <w:rPr/>
      </w:pPr>
      <w:r>
        <w:rPr>
          <w:i/>
          <w:iCs/>
        </w:rPr>
        <w:t>See Quinque</w:t>
      </w:r>
    </w:p>
    <w:p>
      <w:pPr>
        <w:pStyle w:val="Normal"/>
        <w:suppressAutoHyphens w:val="true"/>
        <w:jc w:val="both"/>
        <w:rPr>
          <w:i/>
          <w:i/>
          <w:spacing w:val="-3"/>
        </w:rPr>
      </w:pPr>
      <w:r>
        <w:rPr>
          <w:i/>
          <w:spacing w:val="-3"/>
        </w:rPr>
      </w:r>
    </w:p>
    <w:p>
      <w:pPr>
        <w:pStyle w:val="Normal"/>
        <w:tabs>
          <w:tab w:val="clear" w:pos="720"/>
          <w:tab w:val="right" w:pos="9360" w:leader="none"/>
        </w:tabs>
        <w:jc w:val="center"/>
        <w:rPr>
          <w:spacing w:val="-3"/>
        </w:rPr>
      </w:pPr>
      <w:r>
        <w:rPr>
          <w:b/>
          <w:spacing w:val="-3"/>
          <w:u w:val="single"/>
        </w:rPr>
        <w:t>ENRON ENERGY SERVICES.</w:t>
      </w:r>
    </w:p>
    <w:p>
      <w:pPr>
        <w:pStyle w:val="Normal"/>
        <w:tabs>
          <w:tab w:val="clear" w:pos="720"/>
          <w:tab w:val="right" w:pos="9360" w:leader="none"/>
        </w:tabs>
        <w:jc w:val="both"/>
        <w:rPr>
          <w:spacing w:val="-3"/>
        </w:rPr>
      </w:pPr>
      <w:r>
        <w:rPr>
          <w:spacing w:val="-3"/>
        </w:rPr>
      </w:r>
    </w:p>
    <w:p>
      <w:pPr>
        <w:pStyle w:val="Normal"/>
        <w:suppressAutoHyphens w:val="true"/>
        <w:jc w:val="center"/>
        <w:rPr>
          <w:spacing w:val="-3"/>
        </w:rPr>
      </w:pPr>
      <w:r>
        <w:rPr>
          <w:spacing w:val="-3"/>
        </w:rPr>
        <w:t>None</w:t>
      </w:r>
    </w:p>
    <w:p>
      <w:pPr>
        <w:pStyle w:val="Normal"/>
        <w:suppressAutoHyphens w:val="true"/>
        <w:jc w:val="center"/>
        <w:rPr>
          <w:spacing w:val="-3"/>
        </w:rPr>
      </w:pPr>
      <w:r>
        <w:rPr>
          <w:spacing w:val="-3"/>
        </w:rPr>
      </w:r>
    </w:p>
    <w:p>
      <w:pPr>
        <w:pStyle w:val="Normal"/>
        <w:tabs>
          <w:tab w:val="clear" w:pos="720"/>
          <w:tab w:val="left" w:pos="1440" w:leader="none"/>
          <w:tab w:val="left" w:pos="5760" w:leader="none"/>
        </w:tabs>
        <w:jc w:val="center"/>
        <w:rPr>
          <w:b/>
          <w:spacing w:val="-3"/>
          <w:u w:val="single"/>
        </w:rPr>
      </w:pPr>
      <w:r>
        <w:rPr>
          <w:b/>
          <w:spacing w:val="-3"/>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Normal"/>
        <w:tabs>
          <w:tab w:val="clear" w:pos="720"/>
          <w:tab w:val="left" w:pos="1440" w:leader="none"/>
          <w:tab w:val="left" w:pos="5760" w:leader="none"/>
        </w:tabs>
        <w:jc w:val="center"/>
        <w:rPr>
          <w:b/>
          <w:spacing w:val="-3"/>
          <w:u w:val="single"/>
        </w:rPr>
      </w:pPr>
      <w:r>
        <w:rPr>
          <w:spacing w:val="-3"/>
        </w:rPr>
        <w:t>None</w:t>
      </w:r>
    </w:p>
    <w:p>
      <w:pPr>
        <w:pStyle w:val="Heading6"/>
        <w:tabs>
          <w:tab w:val="clear" w:pos="2160"/>
          <w:tab w:val="clear" w:pos="6480"/>
          <w:tab w:val="left" w:pos="1440" w:leader="none"/>
          <w:tab w:val="left" w:pos="5760" w:leader="none"/>
        </w:tabs>
        <w:ind w:hanging="0" w:start="0"/>
        <w:rPr>
          <w:b w:val="false"/>
          <w:spacing w:val="-3"/>
          <w:u w:val="single"/>
        </w:rPr>
      </w:pPr>
      <w:r>
        <w:rPr>
          <w:b w:val="false"/>
          <w:spacing w:val="-3"/>
          <w:u w:val="single"/>
        </w:rPr>
      </w:r>
    </w:p>
    <w:p>
      <w:pPr>
        <w:pStyle w:val="Heading6"/>
        <w:tabs>
          <w:tab w:val="clear" w:pos="2160"/>
          <w:tab w:val="clear" w:pos="6480"/>
          <w:tab w:val="left" w:pos="1440" w:leader="none"/>
          <w:tab w:val="left" w:pos="5760" w:leader="none"/>
        </w:tabs>
        <w:ind w:hanging="0" w:start="0"/>
        <w:rPr/>
      </w:pPr>
      <w:r>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[UPDATED]</w:t>
      </w:r>
    </w:p>
    <w:p>
      <w:pPr>
        <w:pStyle w:val="BodyText"/>
        <w:tabs>
          <w:tab w:val="clear" w:pos="9360"/>
        </w:tabs>
        <w:rPr/>
      </w:pPr>
      <w:r>
        <w:rPr/>
        <w:t xml:space="preserve">(Montana </w:t>
      </w:r>
      <w:r>
        <w:rPr>
          <w:b/>
          <w:bCs/>
        </w:rPr>
        <w:t xml:space="preserve">federal </w:t>
      </w:r>
      <w:r>
        <w:rPr/>
        <w:t>court) (Vote) (</w:t>
      </w:r>
      <w:r>
        <w:rPr>
          <w:b/>
          <w:bCs/>
        </w:rPr>
        <w:t>Steven Lehman, Crowley, Haughey, Hanson, Took &amp; Dietrich, P.L.L.P—local counsel</w:t>
      </w:r>
      <w:r>
        <w:rPr/>
        <w:t>)</w:t>
      </w:r>
    </w:p>
    <w:p>
      <w:pPr>
        <w:pStyle w:val="BodyText"/>
        <w:numPr>
          <w:ilvl w:val="0"/>
          <w:numId w:val="16"/>
        </w:numPr>
        <w:tabs>
          <w:tab w:val="clear" w:pos="9360"/>
        </w:tabs>
        <w:ind w:hanging="360" w:start="360" w:end="0"/>
        <w:rPr/>
      </w:pPr>
      <w:r>
        <w:rPr/>
        <w:t>Plaintiff alleges wrongful termination in retaliation for asserting sexual harassment claim</w:t>
      </w:r>
    </w:p>
    <w:p>
      <w:pPr>
        <w:pStyle w:val="BodyText"/>
        <w:numPr>
          <w:ilvl w:val="0"/>
          <w:numId w:val="16"/>
        </w:numPr>
        <w:tabs>
          <w:tab w:val="clear" w:pos="9360"/>
        </w:tabs>
        <w:ind w:hanging="360" w:start="360" w:end="0"/>
        <w:rPr/>
      </w:pPr>
      <w:r>
        <w:rPr/>
        <w:t>Plaintiff seeks past and future lost wages and benefits, tort damages, and costs and fees</w:t>
      </w:r>
    </w:p>
    <w:p>
      <w:pPr>
        <w:pStyle w:val="BodyText"/>
        <w:numPr>
          <w:ilvl w:val="0"/>
          <w:numId w:val="16"/>
        </w:numPr>
        <w:tabs>
          <w:tab w:val="clear" w:pos="9360"/>
        </w:tabs>
        <w:ind w:hanging="360" w:start="360" w:end="0"/>
        <w:rPr/>
      </w:pPr>
      <w:r>
        <w:rPr>
          <w:b/>
          <w:bCs/>
        </w:rPr>
        <w:t>Removed to federal court September 18, 2000</w:t>
      </w:r>
    </w:p>
    <w:p>
      <w:pPr>
        <w:pStyle w:val="BodyText"/>
        <w:numPr>
          <w:ilvl w:val="0"/>
          <w:numId w:val="16"/>
        </w:numPr>
        <w:tabs>
          <w:tab w:val="clear" w:pos="9360"/>
        </w:tabs>
        <w:ind w:hanging="360" w:start="360" w:end="0"/>
        <w:rPr/>
      </w:pPr>
      <w:r>
        <w:rPr/>
        <w:t>Answer filed October 9, 2000</w:t>
      </w:r>
    </w:p>
    <w:p>
      <w:pPr>
        <w:pStyle w:val="BodyText"/>
        <w:numPr>
          <w:ilvl w:val="0"/>
          <w:numId w:val="16"/>
        </w:numPr>
        <w:tabs>
          <w:tab w:val="clear" w:pos="9360"/>
        </w:tabs>
        <w:ind w:hanging="360" w:start="360" w:end="0"/>
        <w:rPr/>
      </w:pPr>
      <w:r>
        <w:rPr>
          <w:b/>
          <w:bCs/>
        </w:rPr>
        <w:t>Plaintiff initated discovery</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[UPDATED]</w:t>
      </w:r>
    </w:p>
    <w:p>
      <w:pPr>
        <w:pStyle w:val="Heading7"/>
        <w:ind w:hanging="0" w:start="0"/>
        <w:rPr/>
      </w:pPr>
      <w:r>
        <w:rPr/>
        <w:t>In re Rio Piedras District, San Juan,</w:t>
      </w:r>
      <w:r>
        <w:rPr>
          <w:b w:val="false"/>
          <w:i w:val="false"/>
        </w:rPr>
        <w:t xml:space="preserve"> </w:t>
      </w:r>
      <w:r>
        <w:rPr>
          <w:bCs/>
          <w:i w:val="false"/>
        </w:rPr>
        <w:t xml:space="preserve">Puerto Rico </w:t>
      </w:r>
      <w:r>
        <w:rPr>
          <w:bCs/>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20"/>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20"/>
        </w:numPr>
        <w:suppressAutoHyphens w:val="true"/>
        <w:jc w:val="both"/>
        <w:rPr>
          <w:spacing w:val="-3"/>
        </w:rPr>
      </w:pPr>
      <w:r>
        <w:rPr>
          <w:spacing w:val="-3"/>
        </w:rPr>
        <w:t>According to media:  33 fatalities; 80 injured</w:t>
      </w:r>
    </w:p>
    <w:p>
      <w:pPr>
        <w:pStyle w:val="Normal"/>
        <w:numPr>
          <w:ilvl w:val="0"/>
          <w:numId w:val="20"/>
        </w:numPr>
        <w:suppressAutoHyphens w:val="true"/>
        <w:jc w:val="both"/>
        <w:rPr>
          <w:spacing w:val="-3"/>
        </w:rPr>
      </w:pPr>
      <w:r>
        <w:rPr>
          <w:spacing w:val="-3"/>
        </w:rPr>
        <w:t xml:space="preserve">508 suits pending in federal or local court in Puerto Rico on behalf of nearly 1,460 different plaintiffs against Enron Corp., San Juan Gas, and/or their carriers and affiliates; total alleged damages exceed </w:t>
      </w:r>
      <w:r>
        <w:rPr/>
        <w:t>$3.3</w:t>
      </w:r>
      <w:r>
        <w:rPr>
          <w:spacing w:val="-3"/>
        </w:rPr>
        <w:t xml:space="preserve"> billion; “extrajudicial claim” notices arguably in effect for a number of claimants which may extend the statute of limitations</w:t>
      </w:r>
    </w:p>
    <w:p>
      <w:pPr>
        <w:pStyle w:val="Normal"/>
        <w:numPr>
          <w:ilvl w:val="0"/>
          <w:numId w:val="20"/>
        </w:numPr>
        <w:suppressAutoHyphens w:val="true"/>
        <w:jc w:val="both"/>
        <w:rPr>
          <w:spacing w:val="-3"/>
        </w:rPr>
      </w:pPr>
      <w:r>
        <w:rPr/>
        <w:t xml:space="preserve">The plaintiffs, Enron defendants, and carriers entered on January 19, 2000, Points of Agreement, whereby the liability trial would be moot and all proceedings involving such trial, including disputes relative to privileged documents, would be resolved upon reaching agreement with co-defendants, which was executed March 28, 2000; by order entered May 9, 2000, the federal court approved the agreements and authorized payment of individual case settlements to a plaintiff-established escrow account; nearly </w:t>
      </w:r>
      <w:r>
        <w:rPr>
          <w:b/>
          <w:bCs/>
        </w:rPr>
        <w:t xml:space="preserve">500 </w:t>
      </w:r>
      <w:r>
        <w:rPr/>
        <w:t>individual claims have been settled in principle; releases being distributed to the settling plaintiffs and funding to the escrow account is going forward upon receipt of executed releases and dismissals</w:t>
      </w:r>
    </w:p>
    <w:p>
      <w:pPr>
        <w:pStyle w:val="Normal"/>
        <w:numPr>
          <w:ilvl w:val="0"/>
          <w:numId w:val="20"/>
        </w:numPr>
        <w:suppressAutoHyphens w:val="true"/>
        <w:jc w:val="both"/>
        <w:rPr>
          <w:spacing w:val="-3"/>
        </w:rPr>
      </w:pPr>
      <w:r>
        <w:rPr/>
        <w:t>By order entered May 11, 2000, the federal court selected 20 “representative cases” involving 96 plaintiffs for trials in the spring of 2001; discovery will also be pursued in the remaining federal cases, but no trial dates have been set; on May 19, 2000, the parties jointly proposed a discovery schedule providing for the close of representative case discovery on November 15, 2000, and a discovery cut-off of June 30, 2001, in the remaining cases was entered by the federal court on June 26, 2000; the Superior Court action has been effectively stayed for nearly nine months, pending appointment of new trial judge, which was effected on or about October 1, 2000; hearing there held October 3, 2000, where judge requested submission of memorandum order to approve the Points of Agreement, as amended, and Settlement Agreement Among Defendants, as submitted to the court on March 31, 2000, and as approved by the federal court on May 9, 2000; order drafted and being reviewed by plaintiffs’ counsel</w:t>
      </w:r>
    </w:p>
    <w:p>
      <w:pPr>
        <w:pStyle w:val="Normal"/>
        <w:numPr>
          <w:ilvl w:val="0"/>
          <w:numId w:val="20"/>
        </w:numPr>
        <w:suppressAutoHyphens w:val="true"/>
        <w:jc w:val="both"/>
        <w:rPr>
          <w:spacing w:val="-3"/>
        </w:rPr>
      </w:pPr>
      <w:r>
        <w:rPr>
          <w:spacing w:val="-3"/>
        </w:rPr>
        <w:t>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w:t>
      </w:r>
    </w:p>
    <w:p>
      <w:pPr>
        <w:pStyle w:val="Normal"/>
        <w:numPr>
          <w:ilvl w:val="0"/>
          <w:numId w:val="20"/>
        </w:numPr>
        <w:suppressAutoHyphens w:val="true"/>
        <w:jc w:val="both"/>
        <w:rPr>
          <w:spacing w:val="-3"/>
        </w:rPr>
      </w:pPr>
      <w:r>
        <w:rPr/>
        <w:t>By orders entered June 6 and 14, 2000, the federal court dismissed approximately 185 plaintiffs for lack of prosecution; motions for reconsideration and Enron’s opposition thereto are on file; await ruling</w:t>
      </w:r>
    </w:p>
    <w:p>
      <w:pPr>
        <w:pStyle w:val="Normal"/>
        <w:numPr>
          <w:ilvl w:val="0"/>
          <w:numId w:val="20"/>
        </w:numPr>
        <w:suppressAutoHyphens w:val="true"/>
        <w:jc w:val="both"/>
        <w:rPr/>
      </w:pPr>
      <w:r>
        <w:rPr>
          <w:spacing w:val="-3"/>
        </w:rPr>
        <w:t xml:space="preserve">Monthly conference calls with carrier counsel ongoing; </w:t>
      </w:r>
      <w:r>
        <w:rPr/>
        <w:t xml:space="preserve">last carrier conference call held </w:t>
      </w:r>
      <w:r>
        <w:rPr>
          <w:b/>
          <w:bCs/>
        </w:rPr>
        <w:t>November 2</w:t>
      </w:r>
      <w:r>
        <w:rPr/>
        <w:t xml:space="preserve">, 2000; </w:t>
      </w:r>
      <w:r>
        <w:rPr>
          <w:spacing w:val="-3"/>
        </w:rPr>
        <w:t>carriers’ local counsel actively participates in individual settlement efforts</w:t>
      </w:r>
    </w:p>
    <w:p>
      <w:pPr>
        <w:pStyle w:val="Normal"/>
        <w:suppressAutoHyphens w:val="true"/>
        <w:jc w:val="both"/>
        <w:rPr/>
      </w:pPr>
      <w:r>
        <w:rPr/>
      </w:r>
    </w:p>
    <w:p>
      <w:pPr>
        <w:pStyle w:val="Normal"/>
        <w:suppressAutoHyphens w:val="true"/>
        <w:jc w:val="both"/>
        <w:rPr/>
      </w:pPr>
      <w:r>
        <w:rPr/>
      </w:r>
    </w:p>
    <w:p>
      <w:pPr>
        <w:pStyle w:val="Heading7"/>
        <w:widowControl w:val="false"/>
        <w:suppressAutoHyphens w:val="true"/>
        <w:ind w:hanging="0" w:start="0"/>
        <w:rPr/>
      </w:pPr>
      <w:r>
        <w:rPr/>
        <w:t>NNG Pipeline Rupture—Fayette County, Iowa</w:t>
        <w:tab/>
        <w:t>[UPDATED]</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 xml:space="preserve">Investigations by Iowa PUC and Iowa Utility Board initiated; DOT and NTSB notified; </w:t>
      </w:r>
      <w:r>
        <w:rPr>
          <w:b/>
          <w:bCs/>
          <w:spacing w:val="-3"/>
        </w:rPr>
        <w:t>data requests received from DOT-Office of Pipeline Safety and Iowa Utilities Board; responses timely provided</w:t>
      </w:r>
    </w:p>
    <w:p>
      <w:pPr>
        <w:pStyle w:val="Normal"/>
        <w:widowControl w:val="false"/>
        <w:numPr>
          <w:ilvl w:val="0"/>
          <w:numId w:val="5"/>
        </w:numPr>
        <w:tabs>
          <w:tab w:val="clear" w:pos="720"/>
          <w:tab w:val="right" w:pos="9360" w:leader="none"/>
        </w:tabs>
        <w:suppressAutoHyphens w:val="true"/>
        <w:jc w:val="both"/>
        <w:rPr>
          <w:spacing w:val="-3"/>
        </w:rPr>
      </w:pPr>
      <w:r>
        <w:rPr>
          <w:b/>
          <w:bCs/>
          <w:spacing w:val="-3"/>
        </w:rPr>
        <w:t>Relatives and the estate of deceased, Daniel Reedy, have retained counsel; one of the injured, Gary Davis, has also retained counsel</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spacing w:val="-3"/>
        </w:rPr>
      </w:pPr>
      <w:r>
        <w:rPr>
          <w:spacing w:val="-3"/>
        </w:rPr>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r>
      <w:r>
        <w:rPr>
          <w:b/>
          <w:sz w:val="22"/>
        </w:rPr>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Gail Brownfeld</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Mr. Eric Newell</w:t>
      </w:r>
    </w:p>
    <w:p>
      <w:pPr>
        <w:pStyle w:val="Normal"/>
        <w:tabs>
          <w:tab w:val="left" w:pos="720" w:leader="none"/>
          <w:tab w:val="left" w:pos="5040" w:leader="none"/>
          <w:tab w:val="left" w:pos="7650" w:leader="none"/>
        </w:tabs>
        <w:jc w:val="both"/>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Mr. Frank Sayre</w:t>
      </w:r>
    </w:p>
    <w:p>
      <w:pPr>
        <w:pStyle w:val="Normal"/>
        <w:tabs>
          <w:tab w:val="left" w:pos="720" w:leader="none"/>
          <w:tab w:val="left" w:pos="5040" w:leader="none"/>
          <w:tab w:val="left" w:pos="7650" w:leader="none"/>
        </w:tabs>
        <w:rPr>
          <w:sz w:val="22"/>
        </w:rPr>
      </w:pPr>
      <w:r>
        <w:rPr>
          <w:sz w:val="22"/>
        </w:rPr>
        <w:tab/>
        <w:t>Mr. John Schwartzenburg</w:t>
      </w:r>
    </w:p>
    <w:p>
      <w:pPr>
        <w:pStyle w:val="Normal"/>
        <w:tabs>
          <w:tab w:val="left" w:pos="720" w:leader="none"/>
          <w:tab w:val="left" w:pos="5040" w:leader="none"/>
          <w:tab w:val="left" w:pos="7650" w:leader="none"/>
        </w:tabs>
        <w:rPr>
          <w:sz w:val="22"/>
        </w:rPr>
      </w:pPr>
      <w:r>
        <w:rPr>
          <w:sz w:val="22"/>
        </w:rPr>
        <w:tab/>
        <w:t>Mr. Scott Sefton</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tab/>
        <w:t>Mr. Randy Young</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/mnt/main-storage/datasets/enron-docs/doc/MJVDWKL2-7bf12ca80e4add8acddb2e7be444cafc06872b77a3afd6b31b4f06b76697e8ce.DOC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u w:val="single"/>
    </w:rPr>
  </w:style>
  <w:style w:type="paragraph" w:styleId="Heading3">
    <w:name w:val="heading 3"/>
    <w:basedOn w:val="Normal"/>
    <w:next w:val="Normal"/>
    <w:qFormat/>
    <w:pPr>
      <w:numPr>
        <w:ilvl w:val="2"/>
        <w:numId w:val="1"/>
      </w:numPr>
      <w:spacing w:lineRule="auto" w:line="480"/>
      <w:jc w:val="both"/>
      <w:outlineLvl w:val="2"/>
    </w:pPr>
    <w:rPr>
      <w:i/>
    </w:rPr>
  </w:style>
  <w:style w:type="paragraph" w:styleId="Heading4">
    <w:name w:val="heading 4"/>
    <w:basedOn w:val="Normal"/>
    <w:next w:val="Normal"/>
    <w:qFormat/>
    <w:pPr>
      <w:numPr>
        <w:ilvl w:val="3"/>
        <w:numId w:val="1"/>
      </w:numPr>
      <w:spacing w:before="0" w:after="120"/>
      <w:ind w:firstLine="720" w:start="1440" w:end="1440"/>
      <w:jc w:val="both"/>
      <w:outlineLvl w:val="3"/>
    </w:pPr>
    <w:rPr/>
  </w:style>
  <w:style w:type="paragraph" w:styleId="Heading5">
    <w:name w:val="heading 5"/>
    <w:basedOn w:val="Normal"/>
    <w:next w:val="Normal"/>
    <w:qFormat/>
    <w:pPr>
      <w:keepNext w:val="true"/>
      <w:numPr>
        <w:ilvl w:val="4"/>
        <w:numId w:val="1"/>
      </w:numPr>
      <w:ind w:hanging="0" w:start="0" w:end="-180"/>
      <w:jc w:val="both"/>
      <w:outlineLvl w:val="4"/>
    </w:pPr>
    <w:rPr>
      <w:b/>
      <w:i/>
      <w:spacing w:val="-3"/>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left" w:pos="720" w:leader="none"/>
        <w:tab w:val="right" w:pos="9360" w:leader="dot"/>
      </w:tabs>
      <w:spacing w:before="0" w:after="120"/>
      <w:ind w:firstLine="720" w:start="0" w:end="0"/>
    </w:pPr>
    <w:rPr/>
  </w:style>
  <w:style w:type="paragraph" w:styleId="TOC1">
    <w:name w:val="toc 1"/>
    <w:basedOn w:val="Normal"/>
    <w:next w:val="Normal"/>
    <w:pPr>
      <w:tabs>
        <w:tab w:val="clear" w:pos="720"/>
        <w:tab w:val="right" w:pos="9360" w:leader="dot"/>
      </w:tabs>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8640" w:leader="dot"/>
      </w:tabs>
      <w:spacing w:before="120" w:after="120"/>
      <w:ind w:hanging="0" w:start="245" w:end="0"/>
    </w:pPr>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2000-08-11T20:14:00Z</dcterms:created>
  <dc:creator>Enron</dc:creator>
  <dc:description/>
  <dc:language>en-CA</dc:language>
  <cp:lastModifiedBy>mlawles</cp:lastModifiedBy>
  <cp:lastPrinted>2000-11-03T15:21:00Z</cp:lastPrinted>
  <dcterms:modified xsi:type="dcterms:W3CDTF">2000-11-03T18:51:00Z</dcterms:modified>
  <cp:revision>36</cp:revision>
  <dc:subject>Weekly Report-Major Litigation/Claims</dc:subject>
  <dc:title>Memo to James V. Derrick, Jr.</dc:title>
</cp:coreProperties>
</file>