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6" w:space="1" w:color="000000"/>
        </w:pBdr>
        <w:tabs>
          <w:tab w:val="clear" w:pos="720"/>
          <w:tab w:val="left" w:pos="-1440" w:leader="none"/>
          <w:tab w:val="left" w:pos="-720" w:leader="none"/>
          <w:tab w:val="right" w:pos="9360" w:leader="none"/>
        </w:tabs>
        <w:suppressAutoHyphens w:val="true"/>
        <w:jc w:val="both"/>
        <w:rPr>
          <w:b/>
          <w:spacing w:val="-3"/>
        </w:rPr>
      </w:pPr>
      <w:r>
        <w:rPr>
          <w:b/>
          <w:spacing w:val="-3"/>
        </w:rPr>
        <w:t>LITIGATION UNIT</w:t>
        <w:tab/>
      </w:r>
      <w:r>
        <w:rPr>
          <w:b/>
          <w:spacing w:val="-3"/>
          <w:sz w:val="32"/>
        </w:rPr>
        <w:t>VIA EMAIL</w:t>
      </w:r>
    </w:p>
    <w:p>
      <w:pPr>
        <w:pStyle w:val="Normal"/>
        <w:jc w:val="both"/>
        <w:rPr>
          <w:b/>
          <w:spacing w:val="-3"/>
        </w:rPr>
      </w:pPr>
      <w:r>
        <w:rPr>
          <w:b/>
          <w:spacing w:val="-3"/>
        </w:rPr>
      </w:r>
    </w:p>
    <w:p>
      <w:pPr>
        <w:pStyle w:val="Normal"/>
        <w:jc w:val="center"/>
        <w:rPr>
          <w:b/>
          <w:spacing w:val="-3"/>
        </w:rPr>
      </w:pPr>
      <w:r>
        <w:rPr>
          <w:b/>
          <w:spacing w:val="-3"/>
          <w:u w:val="single"/>
        </w:rPr>
        <w:t>M E M O R A N D U M</w:t>
      </w:r>
    </w:p>
    <w:p>
      <w:pPr>
        <w:pStyle w:val="Normal"/>
        <w:jc w:val="both"/>
        <w:rPr>
          <w:b/>
          <w:spacing w:val="-3"/>
        </w:rPr>
      </w:pPr>
      <w:r>
        <w:rPr>
          <w:b/>
          <w:spacing w:val="-3"/>
        </w:rPr>
      </w:r>
    </w:p>
    <w:p>
      <w:pPr>
        <w:pStyle w:val="Normal"/>
        <w:tabs>
          <w:tab w:val="clear" w:pos="720"/>
          <w:tab w:val="left" w:pos="1440" w:leader="none"/>
          <w:tab w:val="right" w:pos="9360" w:leader="none"/>
        </w:tabs>
        <w:rPr>
          <w:b/>
          <w:bCs/>
          <w:spacing w:val="-3"/>
        </w:rPr>
      </w:pPr>
      <w:r>
        <w:rPr/>
        <w:t>TO:</w:t>
        <w:tab/>
        <w:t>Mr. James V. Derrick, Jr.</w:t>
      </w:r>
      <w:r>
        <w:rPr>
          <w:b/>
          <w:bCs/>
          <w:spacing w:val="-3"/>
        </w:rPr>
        <w:t xml:space="preserve"> </w:t>
        <w:tab/>
      </w:r>
      <w:r>
        <w:rPr>
          <w:b/>
          <w:bCs/>
        </w:rPr>
        <w:t>CONFIDENTIAL</w:t>
      </w:r>
    </w:p>
    <w:p>
      <w:pPr>
        <w:pStyle w:val="Normal"/>
        <w:tabs>
          <w:tab w:val="clear" w:pos="720"/>
          <w:tab w:val="left" w:pos="1440" w:leader="none"/>
        </w:tabs>
        <w:rPr>
          <w:b/>
          <w:bCs/>
          <w:spacing w:val="-3"/>
        </w:rPr>
      </w:pPr>
      <w:r>
        <w:rPr>
          <w:b/>
          <w:bCs/>
          <w:spacing w:val="-3"/>
        </w:rPr>
      </w:r>
    </w:p>
    <w:p>
      <w:pPr>
        <w:pStyle w:val="Normal"/>
        <w:tabs>
          <w:tab w:val="clear" w:pos="720"/>
          <w:tab w:val="left" w:pos="1440" w:leader="none"/>
          <w:tab w:val="right" w:pos="9360" w:leader="none"/>
        </w:tabs>
        <w:rPr>
          <w:spacing w:val="-3"/>
        </w:rPr>
      </w:pPr>
      <w:r>
        <w:rPr>
          <w:spacing w:val="-3"/>
        </w:rPr>
        <w:t>FROM:</w:t>
        <w:tab/>
        <w:t>Enron Litigation Unit</w:t>
        <w:tab/>
      </w:r>
      <w:r>
        <w:rPr>
          <w:b/>
          <w:i/>
          <w:spacing w:val="-3"/>
        </w:rPr>
        <w:t>[UPDATED]</w:t>
      </w:r>
    </w:p>
    <w:p>
      <w:pPr>
        <w:pStyle w:val="Normal"/>
        <w:tabs>
          <w:tab w:val="clear" w:pos="720"/>
          <w:tab w:val="left" w:pos="1440" w:leader="none"/>
        </w:tabs>
        <w:rPr>
          <w:b/>
          <w:bCs/>
          <w:spacing w:val="-3"/>
        </w:rPr>
      </w:pPr>
      <w:r>
        <w:rPr>
          <w:b/>
          <w:bCs/>
          <w:spacing w:val="-3"/>
        </w:rPr>
      </w:r>
    </w:p>
    <w:p>
      <w:pPr>
        <w:pStyle w:val="Normal"/>
        <w:tabs>
          <w:tab w:val="clear" w:pos="720"/>
          <w:tab w:val="left" w:pos="360" w:leader="none"/>
          <w:tab w:val="left" w:pos="1440" w:leader="none"/>
        </w:tabs>
        <w:ind w:hanging="360" w:start="360" w:end="0"/>
        <w:rPr>
          <w:spacing w:val="-3"/>
        </w:rPr>
      </w:pPr>
      <w:r>
        <w:rPr>
          <w:spacing w:val="-3"/>
        </w:rPr>
        <w:t>RE:</w:t>
        <w:tab/>
        <w:t>Weekly Report--Major Litigation/Claims</w:t>
      </w:r>
      <w:r>
        <w:rPr>
          <w:rStyle w:val="FootnoteCharacters"/>
          <w:rStyle w:val="FootnoteReference"/>
          <w:spacing w:val="-5"/>
          <w:position w:val="0"/>
          <w:sz w:val="24"/>
          <w:vertAlign w:val="baseline"/>
        </w:rPr>
        <w:footnoteReference w:customMarkFollows="1" w:id="2"/>
        <w:t>*</w:t>
      </w:r>
    </w:p>
    <w:p>
      <w:pPr>
        <w:pStyle w:val="TOC1"/>
        <w:tabs>
          <w:tab w:val="clear" w:pos="9360"/>
          <w:tab w:val="left" w:pos="1440" w:leader="none"/>
        </w:tabs>
        <w:spacing w:before="0" w:after="0"/>
        <w:rPr>
          <w:caps w:val="false"/>
          <w:smallCaps w:val="false"/>
          <w:shadow w:val="false"/>
          <w:spacing w:val="-3"/>
        </w:rPr>
      </w:pPr>
      <w:r>
        <w:rPr>
          <w:caps w:val="false"/>
          <w:smallCaps w:val="false"/>
          <w:shadow w:val="false"/>
          <w:spacing w:val="-3"/>
        </w:rPr>
      </w:r>
    </w:p>
    <w:p>
      <w:pPr>
        <w:pStyle w:val="Normal"/>
        <w:tabs>
          <w:tab w:val="clear" w:pos="720"/>
          <w:tab w:val="left" w:pos="1440" w:leader="none"/>
        </w:tabs>
        <w:rPr>
          <w:spacing w:val="-3"/>
        </w:rPr>
      </w:pPr>
      <w:r>
        <w:rPr>
          <w:spacing w:val="-3"/>
        </w:rPr>
        <w:t>DATE:</w:t>
        <w:tab/>
      </w:r>
      <w:r>
        <w:rPr>
          <w:spacing w:val="-3"/>
        </w:rPr>
        <w:fldChar w:fldCharType="begin"/>
      </w:r>
      <w:r>
        <w:rPr>
          <w:spacing w:val="-3"/>
        </w:rPr>
        <w:instrText xml:space="preserve"> DATE \@"MMMM\ d', 'yyyy" </w:instrText>
      </w:r>
      <w:r>
        <w:rPr>
          <w:spacing w:val="-3"/>
        </w:rPr>
        <w:fldChar w:fldCharType="separate"/>
      </w:r>
      <w:r>
        <w:rPr>
          <w:spacing w:val="-3"/>
        </w:rPr>
        <w:t>September 28, 2025</w:t>
      </w:r>
      <w:r>
        <w:rPr>
          <w:spacing w:val="-3"/>
        </w:rPr>
        <w:fldChar w:fldCharType="end"/>
      </w:r>
    </w:p>
    <w:p>
      <w:pPr>
        <w:pStyle w:val="Normal"/>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000" w:leader="none"/>
        </w:tabs>
        <w:suppressAutoHyphens w:val="true"/>
        <w:jc w:val="both"/>
        <w:rPr>
          <w:b/>
          <w:bCs/>
          <w:spacing w:val="-3"/>
        </w:rPr>
      </w:pPr>
      <w:r>
        <w:rPr>
          <w:b/>
          <w:bCs/>
          <w:spacing w:val="-3"/>
        </w:rPr>
        <w:t>_______________________________________________________________________________</w:t>
      </w:r>
    </w:p>
    <w:p>
      <w:pPr>
        <w:pStyle w:val="Normal"/>
        <w:jc w:val="center"/>
        <w:rPr>
          <w:b/>
          <w:bCs/>
          <w:spacing w:val="-3"/>
          <w:u w:val="single"/>
        </w:rPr>
      </w:pPr>
      <w:r>
        <w:rPr>
          <w:b/>
          <w:bCs/>
          <w:spacing w:val="-3"/>
          <w:u w:val="single"/>
        </w:rPr>
      </w:r>
    </w:p>
    <w:p>
      <w:pPr>
        <w:pStyle w:val="Normal"/>
        <w:jc w:val="center"/>
        <w:rPr>
          <w:b/>
          <w:spacing w:val="-3"/>
        </w:rPr>
      </w:pPr>
      <w:r>
        <w:rPr>
          <w:b/>
          <w:spacing w:val="-3"/>
          <w:u w:val="single"/>
        </w:rPr>
        <w:t>ENRON CORP.</w:t>
      </w:r>
    </w:p>
    <w:p>
      <w:pPr>
        <w:pStyle w:val="BodyText"/>
        <w:tabs>
          <w:tab w:val="clear" w:pos="9360"/>
        </w:tabs>
        <w:rPr>
          <w:b/>
          <w:bCs/>
          <w:spacing w:val="-3"/>
        </w:rPr>
      </w:pPr>
      <w:r>
        <w:rPr>
          <w:b/>
          <w:bCs/>
          <w:spacing w:val="-3"/>
        </w:rPr>
      </w:r>
    </w:p>
    <w:p>
      <w:pPr>
        <w:pStyle w:val="BodyText"/>
        <w:rPr>
          <w:b/>
          <w:bCs/>
          <w:i/>
          <w:i/>
          <w:iCs/>
        </w:rPr>
      </w:pPr>
      <w:r>
        <w:rPr>
          <w:b/>
          <w:bCs/>
          <w:i/>
          <w:iCs/>
        </w:rPr>
        <w:t>Birhiray v. Enron Corp.</w:t>
        <w:tab/>
        <w:t>[UPDATED]</w:t>
      </w:r>
    </w:p>
    <w:p>
      <w:pPr>
        <w:pStyle w:val="BodyText"/>
        <w:tabs>
          <w:tab w:val="clear" w:pos="9360"/>
        </w:tabs>
        <w:rPr/>
      </w:pPr>
      <w:r>
        <w:rPr/>
        <w:t>(Houston, Texas federal court) (Vote) (Martin Wickliff, Wickliff &amp; Hall—outside counsel)</w:t>
      </w:r>
    </w:p>
    <w:p>
      <w:pPr>
        <w:pStyle w:val="BodyText"/>
        <w:numPr>
          <w:ilvl w:val="0"/>
          <w:numId w:val="12"/>
        </w:numPr>
        <w:tabs>
          <w:tab w:val="clear" w:pos="9360"/>
          <w:tab w:val="left" w:pos="360" w:leader="none"/>
        </w:tabs>
        <w:ind w:hanging="360" w:start="360" w:end="0"/>
        <w:rPr/>
      </w:pPr>
      <w:r>
        <w:rPr/>
        <w:t>Plaintiff alleges discrimination and wrongful discharge under Title VII and intentional infliction of emotional distress and seeks actual, compensatory and punitive damages and fees and costs</w:t>
      </w:r>
    </w:p>
    <w:p>
      <w:pPr>
        <w:pStyle w:val="BodyText"/>
        <w:numPr>
          <w:ilvl w:val="0"/>
          <w:numId w:val="12"/>
        </w:numPr>
        <w:tabs>
          <w:tab w:val="clear" w:pos="9360"/>
          <w:tab w:val="left" w:pos="360" w:leader="none"/>
        </w:tabs>
        <w:ind w:hanging="360" w:start="360" w:end="0"/>
        <w:rPr/>
      </w:pPr>
      <w:r>
        <w:rPr/>
        <w:t>Answer filed February 2, 2001</w:t>
      </w:r>
    </w:p>
    <w:p>
      <w:pPr>
        <w:pStyle w:val="BodyText"/>
        <w:numPr>
          <w:ilvl w:val="0"/>
          <w:numId w:val="12"/>
        </w:numPr>
        <w:tabs>
          <w:tab w:val="clear" w:pos="9360"/>
          <w:tab w:val="left" w:pos="360" w:leader="none"/>
        </w:tabs>
        <w:ind w:hanging="360" w:start="360" w:end="0"/>
        <w:rPr/>
      </w:pPr>
      <w:r>
        <w:rPr/>
        <w:t>Pretrial conference held</w:t>
      </w:r>
      <w:r>
        <w:rPr>
          <w:b/>
          <w:bCs/>
        </w:rPr>
        <w:t xml:space="preserve"> </w:t>
      </w:r>
      <w:r>
        <w:rPr/>
        <w:t>May 3, 2001</w:t>
      </w:r>
    </w:p>
    <w:p>
      <w:pPr>
        <w:pStyle w:val="BodyText"/>
        <w:numPr>
          <w:ilvl w:val="0"/>
          <w:numId w:val="12"/>
        </w:numPr>
        <w:tabs>
          <w:tab w:val="clear" w:pos="9360"/>
          <w:tab w:val="left" w:pos="360" w:leader="none"/>
        </w:tabs>
        <w:ind w:hanging="360" w:start="360" w:end="0"/>
        <w:rPr/>
      </w:pPr>
      <w:r>
        <w:rPr/>
        <w:t xml:space="preserve">Discovery ongoing, with </w:t>
      </w:r>
      <w:r>
        <w:rPr>
          <w:b/>
          <w:bCs/>
        </w:rPr>
        <w:t>plaintiff’s deposition set for June 13, 2001</w:t>
      </w:r>
    </w:p>
    <w:p>
      <w:pPr>
        <w:pStyle w:val="BodyText"/>
        <w:tabs>
          <w:tab w:val="clear" w:pos="9360"/>
          <w:tab w:val="left" w:pos="360" w:leader="none"/>
        </w:tabs>
        <w:rPr>
          <w:b/>
          <w:bCs/>
        </w:rPr>
      </w:pPr>
      <w:r>
        <w:rPr>
          <w:b/>
          <w:bCs/>
        </w:rPr>
      </w:r>
    </w:p>
    <w:p>
      <w:pPr>
        <w:pStyle w:val="BodyText"/>
        <w:rPr>
          <w:b/>
          <w:bCs/>
          <w:i/>
          <w:i/>
          <w:iCs/>
        </w:rPr>
      </w:pPr>
      <w:r>
        <w:rPr>
          <w:b/>
          <w:bCs/>
          <w:i/>
          <w:iCs/>
        </w:rPr>
        <w:tab/>
        <w:t>[UPDATED]</w:t>
      </w:r>
    </w:p>
    <w:p>
      <w:pPr>
        <w:pStyle w:val="BodyText"/>
        <w:tabs>
          <w:tab w:val="left" w:pos="360" w:leader="none"/>
          <w:tab w:val="right" w:pos="9360" w:leader="none"/>
        </w:tabs>
        <w:rPr>
          <w:b/>
          <w:bCs/>
          <w:i/>
          <w:i/>
          <w:iCs/>
        </w:rPr>
      </w:pPr>
      <w:r>
        <w:rPr>
          <w:b/>
          <w:bCs/>
          <w:i/>
          <w:iCs/>
        </w:rPr>
        <w:t>Callison v. Enron Corp., EOG Resources f/k/a Enron Oil &amp; Gas Co., and Al Luckow</w:t>
      </w:r>
    </w:p>
    <w:p>
      <w:pPr>
        <w:pStyle w:val="BodyText"/>
        <w:tabs>
          <w:tab w:val="clear" w:pos="9360"/>
          <w:tab w:val="left" w:pos="360" w:leader="none"/>
        </w:tabs>
        <w:rPr/>
      </w:pPr>
      <w:r>
        <w:rPr/>
        <w:t>(Cheyenne, Wyoming federal court) (Vote) (Drake D. Hill, Brown, Drew &amp; Massey, L.L.P.—local counsel)</w:t>
      </w:r>
    </w:p>
    <w:p>
      <w:pPr>
        <w:pStyle w:val="BodyText"/>
        <w:numPr>
          <w:ilvl w:val="0"/>
          <w:numId w:val="4"/>
        </w:numPr>
        <w:tabs>
          <w:tab w:val="clear" w:pos="9360"/>
          <w:tab w:val="left" w:pos="360" w:leader="none"/>
        </w:tabs>
        <w:ind w:hanging="360" w:start="360" w:end="0"/>
        <w:rPr>
          <w:i/>
          <w:i/>
          <w:iCs/>
        </w:rPr>
      </w:pPr>
      <w:r>
        <w:rPr/>
        <w:t>Plaintiff, an EOG employee on LTD at time of spin off, alleges wrongful discharge and intentional discrimination under the ADA and negligent hiring</w:t>
      </w:r>
    </w:p>
    <w:p>
      <w:pPr>
        <w:pStyle w:val="BodyText"/>
        <w:numPr>
          <w:ilvl w:val="0"/>
          <w:numId w:val="4"/>
        </w:numPr>
        <w:tabs>
          <w:tab w:val="clear" w:pos="9360"/>
          <w:tab w:val="left" w:pos="360" w:leader="none"/>
        </w:tabs>
        <w:ind w:hanging="360" w:start="360" w:end="0"/>
        <w:rPr>
          <w:i/>
          <w:i/>
          <w:iCs/>
        </w:rPr>
      </w:pPr>
      <w:r>
        <w:rPr/>
        <w:t>Plaintiff seeks back pay and front pay, mental anguish, compensatory and punitive damages and costs and fees</w:t>
      </w:r>
    </w:p>
    <w:p>
      <w:pPr>
        <w:pStyle w:val="BodyText"/>
        <w:numPr>
          <w:ilvl w:val="0"/>
          <w:numId w:val="4"/>
        </w:numPr>
        <w:tabs>
          <w:tab w:val="clear" w:pos="9360"/>
          <w:tab w:val="left" w:pos="360" w:leader="none"/>
        </w:tabs>
        <w:ind w:hanging="360" w:start="360" w:end="0"/>
        <w:rPr>
          <w:i/>
          <w:i/>
          <w:iCs/>
        </w:rPr>
      </w:pPr>
      <w:r>
        <w:rPr/>
        <w:t>Answer filed</w:t>
      </w:r>
      <w:r>
        <w:rPr>
          <w:b/>
          <w:bCs/>
        </w:rPr>
        <w:t xml:space="preserve"> </w:t>
      </w:r>
      <w:r>
        <w:rPr/>
        <w:t>February 15, 2001</w:t>
      </w:r>
    </w:p>
    <w:p>
      <w:pPr>
        <w:pStyle w:val="BodyText"/>
        <w:numPr>
          <w:ilvl w:val="0"/>
          <w:numId w:val="4"/>
        </w:numPr>
        <w:tabs>
          <w:tab w:val="clear" w:pos="9360"/>
          <w:tab w:val="left" w:pos="360" w:leader="none"/>
        </w:tabs>
        <w:ind w:hanging="360" w:start="360" w:end="0"/>
        <w:rPr>
          <w:i/>
          <w:i/>
          <w:iCs/>
        </w:rPr>
      </w:pPr>
      <w:r>
        <w:rPr/>
        <w:t>Initial discovery initiated</w:t>
      </w:r>
    </w:p>
    <w:p>
      <w:pPr>
        <w:pStyle w:val="BodyText"/>
        <w:numPr>
          <w:ilvl w:val="0"/>
          <w:numId w:val="4"/>
        </w:numPr>
        <w:tabs>
          <w:tab w:val="clear" w:pos="9360"/>
          <w:tab w:val="left" w:pos="360" w:leader="none"/>
        </w:tabs>
        <w:ind w:hanging="360" w:start="360" w:end="0"/>
        <w:rPr>
          <w:i/>
          <w:i/>
          <w:iCs/>
        </w:rPr>
      </w:pPr>
      <w:r>
        <w:rPr>
          <w:b/>
          <w:bCs/>
        </w:rPr>
        <w:t>Plaintiff to dismiss Enron Corp. without prejudice; await order</w:t>
      </w:r>
    </w:p>
    <w:p>
      <w:pPr>
        <w:pStyle w:val="BodyText"/>
        <w:tabs>
          <w:tab w:val="clear" w:pos="9360"/>
          <w:tab w:val="left" w:pos="360" w:leader="none"/>
        </w:tabs>
        <w:rPr>
          <w:i/>
          <w:i/>
          <w:iCs/>
        </w:rPr>
      </w:pPr>
      <w:r>
        <w:rPr>
          <w:i/>
          <w:iCs/>
        </w:rPr>
      </w:r>
    </w:p>
    <w:p>
      <w:pPr>
        <w:pStyle w:val="BodyText"/>
        <w:rPr>
          <w:b/>
          <w:bCs/>
          <w:i/>
          <w:i/>
          <w:iCs/>
        </w:rPr>
      </w:pPr>
      <w:r>
        <w:rPr>
          <w:b/>
          <w:bCs/>
          <w:i/>
          <w:iCs/>
        </w:rPr>
        <w:t xml:space="preserve">Commonwealth Edison Co. v. Kinder Morgan G.P., Inc., f/k/a Enron </w:t>
        <w:tab/>
        <w:t>[FINAL]</w:t>
      </w:r>
    </w:p>
    <w:p>
      <w:pPr>
        <w:pStyle w:val="BodyText"/>
        <w:rPr>
          <w:b/>
          <w:bCs/>
          <w:i/>
          <w:i/>
          <w:iCs/>
        </w:rPr>
      </w:pPr>
      <w:r>
        <w:rPr>
          <w:b/>
          <w:bCs/>
          <w:i/>
          <w:iCs/>
        </w:rPr>
        <w:t>Liquids Pipeline Company, L.P. and Hydrocarbon Transportation, Inc., et al.</w:t>
      </w:r>
    </w:p>
    <w:p>
      <w:pPr>
        <w:pStyle w:val="BodyText"/>
        <w:tabs>
          <w:tab w:val="clear" w:pos="9360"/>
        </w:tabs>
        <w:rPr/>
      </w:pPr>
      <w:r>
        <w:rPr/>
        <w:t>(Chicago, Illinois—state court) (Vote) (Mark Brand, Quarles &amp; Brady, LLC—local counsel)</w:t>
      </w:r>
    </w:p>
    <w:p>
      <w:pPr>
        <w:pStyle w:val="BodyText"/>
        <w:numPr>
          <w:ilvl w:val="0"/>
          <w:numId w:val="14"/>
        </w:numPr>
        <w:tabs>
          <w:tab w:val="clear" w:pos="9360"/>
        </w:tabs>
        <w:ind w:hanging="360" w:start="360" w:end="0"/>
        <w:rPr/>
      </w:pPr>
      <w:r>
        <w:rPr/>
        <w:t>Alleged breach of easement agreement for failure to reimburse landowner for ad valorem taxes, as a portion of the annual easement rental fee</w:t>
      </w:r>
    </w:p>
    <w:p>
      <w:pPr>
        <w:pStyle w:val="BodyText"/>
        <w:numPr>
          <w:ilvl w:val="0"/>
          <w:numId w:val="14"/>
        </w:numPr>
        <w:tabs>
          <w:tab w:val="clear" w:pos="9360"/>
        </w:tabs>
        <w:ind w:hanging="360" w:start="360" w:end="0"/>
        <w:rPr/>
      </w:pPr>
      <w:r>
        <w:rPr/>
        <w:t>Plaintiff seeks nearly $400,000, plus fees and costs</w:t>
      </w:r>
    </w:p>
    <w:p>
      <w:pPr>
        <w:pStyle w:val="BodyText"/>
        <w:numPr>
          <w:ilvl w:val="0"/>
          <w:numId w:val="14"/>
        </w:numPr>
        <w:tabs>
          <w:tab w:val="clear" w:pos="9360"/>
        </w:tabs>
        <w:ind w:hanging="360" w:start="360" w:end="0"/>
        <w:rPr/>
      </w:pPr>
      <w:r>
        <w:rPr/>
        <w:t>Answer filed August 30, 2000</w:t>
      </w:r>
    </w:p>
    <w:p>
      <w:pPr>
        <w:pStyle w:val="BodyText"/>
        <w:numPr>
          <w:ilvl w:val="0"/>
          <w:numId w:val="14"/>
        </w:numPr>
        <w:tabs>
          <w:tab w:val="clear" w:pos="9360"/>
        </w:tabs>
        <w:ind w:hanging="360" w:start="360" w:end="0"/>
        <w:rPr/>
      </w:pPr>
      <w:r>
        <w:rPr/>
        <w:t>Demand for indemnity on Kinder Morgan made November 29, 2000; Kinder Morgan to indemnify and defend subject to a reservation of rights</w:t>
      </w:r>
    </w:p>
    <w:p>
      <w:pPr>
        <w:pStyle w:val="BodyText"/>
        <w:numPr>
          <w:ilvl w:val="0"/>
          <w:numId w:val="14"/>
        </w:numPr>
        <w:tabs>
          <w:tab w:val="clear" w:pos="9360"/>
        </w:tabs>
        <w:ind w:hanging="360" w:start="360" w:end="0"/>
        <w:rPr/>
      </w:pPr>
      <w:r>
        <w:rPr/>
        <w:t>Amended complaint filed January 31, 2001; Kinder Morgan answered amended complaint March 15, 2001; Enron’s answer extended indefinitely</w:t>
      </w:r>
    </w:p>
    <w:p>
      <w:pPr>
        <w:pStyle w:val="BodyText"/>
        <w:numPr>
          <w:ilvl w:val="0"/>
          <w:numId w:val="14"/>
        </w:numPr>
        <w:tabs>
          <w:tab w:val="clear" w:pos="9360"/>
        </w:tabs>
        <w:ind w:hanging="360" w:start="360" w:end="0"/>
        <w:rPr/>
      </w:pPr>
      <w:r>
        <w:rPr>
          <w:b/>
          <w:bCs/>
        </w:rPr>
        <w:t>Order entered May 22, 2001, dismissing Enron entities without prejudice; plaintiff has one year from dismissal to refile</w:t>
      </w:r>
    </w:p>
    <w:p>
      <w:pPr>
        <w:pStyle w:val="BodyText"/>
        <w:numPr>
          <w:ilvl w:val="0"/>
          <w:numId w:val="14"/>
        </w:numPr>
        <w:tabs>
          <w:tab w:val="clear" w:pos="9360"/>
        </w:tabs>
        <w:ind w:hanging="360" w:start="360" w:end="0"/>
        <w:rPr/>
      </w:pPr>
      <w:r>
        <w:rPr>
          <w:b/>
          <w:bCs/>
        </w:rPr>
        <w:t>Litigation Unit file now closed</w:t>
      </w:r>
    </w:p>
    <w:p>
      <w:pPr>
        <w:pStyle w:val="Normal"/>
        <w:jc w:val="both"/>
        <w:rPr>
          <w:spacing w:val="-3"/>
        </w:rPr>
      </w:pPr>
      <w:r>
        <w:rPr>
          <w:spacing w:val="-3"/>
        </w:rPr>
      </w:r>
    </w:p>
    <w:p>
      <w:pPr>
        <w:pStyle w:val="BodyText"/>
        <w:rPr>
          <w:b/>
          <w:bCs/>
          <w:i/>
          <w:i/>
          <w:iCs/>
        </w:rPr>
      </w:pPr>
      <w:r>
        <w:rPr>
          <w:b/>
          <w:bCs/>
          <w:i/>
          <w:iCs/>
        </w:rPr>
        <w:t>Enron Corp. v. Keum Duk Yom</w:t>
        <w:tab/>
        <w:t>[NO UPDATE]</w:t>
      </w:r>
    </w:p>
    <w:p>
      <w:pPr>
        <w:pStyle w:val="BodyText"/>
        <w:tabs>
          <w:tab w:val="clear" w:pos="9360"/>
        </w:tabs>
        <w:rPr/>
      </w:pPr>
      <w:r>
        <w:rPr/>
        <w:t>(not yet filed) (Davis) (Scott Brown, Vinson &amp; Elkins—outside counsel)</w:t>
      </w:r>
    </w:p>
    <w:p>
      <w:pPr>
        <w:pStyle w:val="BodyText"/>
        <w:numPr>
          <w:ilvl w:val="0"/>
          <w:numId w:val="14"/>
        </w:numPr>
        <w:tabs>
          <w:tab w:val="clear" w:pos="9360"/>
        </w:tabs>
        <w:ind w:hanging="360" w:start="360" w:end="0"/>
        <w:rPr/>
      </w:pPr>
      <w:r>
        <w:rPr/>
        <w:t>On December 21, 2000, Enron Corp. sent cease and desist letter to Keum Duk Yom regarding his registration of the domain JAPANENRON.COM</w:t>
      </w:r>
    </w:p>
    <w:p>
      <w:pPr>
        <w:pStyle w:val="BodyText"/>
        <w:numPr>
          <w:ilvl w:val="0"/>
          <w:numId w:val="14"/>
        </w:numPr>
        <w:tabs>
          <w:tab w:val="clear" w:pos="9360"/>
        </w:tabs>
        <w:ind w:hanging="360" w:start="360" w:end="0"/>
        <w:rPr/>
      </w:pPr>
      <w:r>
        <w:rPr/>
        <w:t>On January 23, 2001, Keum Duk Yom responded; await translation</w:t>
      </w:r>
    </w:p>
    <w:p>
      <w:pPr>
        <w:pStyle w:val="Normal"/>
        <w:jc w:val="both"/>
        <w:rPr>
          <w:spacing w:val="-3"/>
        </w:rPr>
      </w:pPr>
      <w:r>
        <w:rPr>
          <w:spacing w:val="-3"/>
        </w:rPr>
      </w:r>
    </w:p>
    <w:p>
      <w:pPr>
        <w:pStyle w:val="BodyText"/>
        <w:rPr>
          <w:b/>
          <w:bCs/>
          <w:i/>
          <w:i/>
          <w:iCs/>
        </w:rPr>
      </w:pPr>
      <w:r>
        <w:rPr>
          <w:b/>
          <w:bCs/>
          <w:i/>
          <w:iCs/>
        </w:rPr>
        <w:t>Enron Corp. v. Merrikh</w:t>
        <w:tab/>
        <w:t>[NO UPDATE]</w:t>
      </w:r>
    </w:p>
    <w:p>
      <w:pPr>
        <w:pStyle w:val="BodyText"/>
        <w:tabs>
          <w:tab w:val="clear" w:pos="9360"/>
        </w:tabs>
        <w:rPr/>
      </w:pPr>
      <w:r>
        <w:rPr/>
        <w:t>(ICAAN arbitration) (Davis) (Scott Brown, Vinson &amp; Elkins—outside counsel)</w:t>
      </w:r>
    </w:p>
    <w:p>
      <w:pPr>
        <w:pStyle w:val="BodyText"/>
        <w:numPr>
          <w:ilvl w:val="0"/>
          <w:numId w:val="14"/>
        </w:numPr>
        <w:tabs>
          <w:tab w:val="clear" w:pos="9360"/>
        </w:tabs>
        <w:ind w:hanging="360" w:start="360" w:end="0"/>
        <w:rPr/>
      </w:pPr>
      <w:r>
        <w:rPr/>
        <w:t>On December 15, 2000, Enron Corp. filed a complaint in arbitration per the ICAAN rules against cyber squatter Kirk Merrikh, who resides in Houston, Texas</w:t>
      </w:r>
    </w:p>
    <w:p>
      <w:pPr>
        <w:pStyle w:val="BodyText"/>
        <w:numPr>
          <w:ilvl w:val="0"/>
          <w:numId w:val="14"/>
        </w:numPr>
        <w:tabs>
          <w:tab w:val="clear" w:pos="9360"/>
        </w:tabs>
        <w:ind w:hanging="360" w:start="360" w:end="0"/>
        <w:rPr/>
      </w:pPr>
      <w:r>
        <w:rPr/>
        <w:t>Enron asks that Merrikh’s domain name, ENRONONLINE.TV, be transferred to Enron</w:t>
      </w:r>
    </w:p>
    <w:p>
      <w:pPr>
        <w:pStyle w:val="BodyText"/>
        <w:numPr>
          <w:ilvl w:val="0"/>
          <w:numId w:val="14"/>
        </w:numPr>
        <w:tabs>
          <w:tab w:val="clear" w:pos="9360"/>
        </w:tabs>
        <w:ind w:hanging="360" w:start="360" w:end="0"/>
        <w:rPr/>
      </w:pPr>
      <w:r>
        <w:rPr/>
        <w:t>On January 3, 2001, Merrikh filed a response</w:t>
      </w:r>
    </w:p>
    <w:p>
      <w:pPr>
        <w:pStyle w:val="BodyText"/>
        <w:numPr>
          <w:ilvl w:val="0"/>
          <w:numId w:val="14"/>
        </w:numPr>
        <w:tabs>
          <w:tab w:val="clear" w:pos="9360"/>
        </w:tabs>
        <w:ind w:hanging="360" w:start="360" w:end="0"/>
        <w:rPr/>
      </w:pPr>
      <w:r>
        <w:rPr/>
        <w:t>On January 10, 2001, the ICAAN arbitrator ruled that the domain name must be transferred; no contravention by Merrikh as of January 20, 2001, so the website should be transferred to Enron; await confirmation</w:t>
      </w:r>
    </w:p>
    <w:p>
      <w:pPr>
        <w:pStyle w:val="Normal"/>
        <w:jc w:val="both"/>
        <w:rPr>
          <w:spacing w:val="-3"/>
        </w:rPr>
      </w:pPr>
      <w:r>
        <w:rPr>
          <w:spacing w:val="-3"/>
        </w:rPr>
      </w:r>
    </w:p>
    <w:p>
      <w:pPr>
        <w:pStyle w:val="BodyText"/>
        <w:rPr>
          <w:b/>
          <w:bCs/>
          <w:i/>
          <w:i/>
          <w:iCs/>
        </w:rPr>
      </w:pPr>
      <w:r>
        <w:rPr>
          <w:b/>
          <w:bCs/>
          <w:i/>
          <w:iCs/>
        </w:rPr>
        <w:t>ExxonMobil Corporation v. Enron Gas Processing Co., et al.</w:t>
        <w:tab/>
        <w:t>[NO UPDATE]</w:t>
      </w:r>
    </w:p>
    <w:p>
      <w:pPr>
        <w:pStyle w:val="BodyText"/>
        <w:tabs>
          <w:tab w:val="clear" w:pos="9360"/>
        </w:tabs>
        <w:rPr/>
      </w:pPr>
      <w:r>
        <w:rPr/>
        <w:t>(Harris County—state court) (Vote/Davis) (Grant Harvey, Gibbs &amp; Bruns—outside counsel)</w:t>
      </w:r>
    </w:p>
    <w:p>
      <w:pPr>
        <w:pStyle w:val="BodyText"/>
        <w:numPr>
          <w:ilvl w:val="0"/>
          <w:numId w:val="14"/>
        </w:numPr>
        <w:tabs>
          <w:tab w:val="clear" w:pos="9360"/>
        </w:tabs>
        <w:ind w:hanging="360" w:start="360" w:end="0"/>
        <w:rPr/>
      </w:pPr>
      <w:r>
        <w:rPr>
          <w:color w:val="000000"/>
        </w:rPr>
        <w:t>ExxonMobil alleges that various present and former Enron entities and Kinder Morgan Operating L.P. "A" breached gas processing and helium extraction agreements related to Bushton facilities, seeking $5,700,000 for breaches of gas processing agreement and $200,000 for breaches of helium extraction agreement; as well as declaratory relief under both agreements and attorneys’ fees</w:t>
      </w:r>
    </w:p>
    <w:p>
      <w:pPr>
        <w:pStyle w:val="BodyText"/>
        <w:numPr>
          <w:ilvl w:val="0"/>
          <w:numId w:val="14"/>
        </w:numPr>
        <w:tabs>
          <w:tab w:val="clear" w:pos="9360"/>
        </w:tabs>
        <w:ind w:hanging="360" w:start="360" w:end="0"/>
        <w:rPr/>
      </w:pPr>
      <w:r>
        <w:rPr>
          <w:color w:val="000000"/>
        </w:rPr>
        <w:t>Enron Liquids Holding Corp. [n/k/a Enron Pipeline Corp.], Enron Liquids Services Corp., and Enron Operating Company [n/k/a Enron Engineering &amp; Construction Company] served September 25, 2000; answer filed March 15, 2001</w:t>
      </w:r>
    </w:p>
    <w:p>
      <w:pPr>
        <w:pStyle w:val="BodyText"/>
        <w:numPr>
          <w:ilvl w:val="0"/>
          <w:numId w:val="14"/>
        </w:numPr>
        <w:tabs>
          <w:tab w:val="clear" w:pos="9360"/>
          <w:tab w:val="left" w:pos="360" w:leader="none"/>
        </w:tabs>
        <w:ind w:hanging="360" w:start="360" w:end="0"/>
        <w:rPr/>
      </w:pPr>
      <w:r>
        <w:rPr/>
        <w:t>ExxonMobil to dismiss all claims against Enron entities except helium claim against Enron Corp. (valued at less than $100,000)</w:t>
      </w:r>
    </w:p>
    <w:p>
      <w:pPr>
        <w:pStyle w:val="BodyText"/>
        <w:numPr>
          <w:ilvl w:val="0"/>
          <w:numId w:val="14"/>
        </w:numPr>
        <w:tabs>
          <w:tab w:val="clear" w:pos="9360"/>
          <w:tab w:val="left" w:pos="360" w:leader="none"/>
        </w:tabs>
        <w:ind w:hanging="360" w:start="360" w:end="0"/>
        <w:rPr/>
      </w:pPr>
      <w:r>
        <w:rPr/>
        <w:t>Case on rolling trial docket for week of June 25, 2001</w:t>
      </w:r>
    </w:p>
    <w:p>
      <w:pPr>
        <w:pStyle w:val="BodyText"/>
        <w:tabs>
          <w:tab w:val="clear" w:pos="9360"/>
        </w:tabs>
        <w:rPr/>
      </w:pPr>
      <w:r>
        <w:rPr/>
      </w:r>
    </w:p>
    <w:p>
      <w:pPr>
        <w:pStyle w:val="Heading6"/>
        <w:tabs>
          <w:tab w:val="clear" w:pos="2160"/>
          <w:tab w:val="clear" w:pos="6480"/>
        </w:tabs>
        <w:ind w:hanging="0" w:start="0"/>
        <w:rPr/>
      </w:pPr>
      <w:r>
        <w:rPr/>
        <w:t>AZURIX</w:t>
      </w:r>
    </w:p>
    <w:p>
      <w:pPr>
        <w:pStyle w:val="Normal"/>
        <w:jc w:val="center"/>
        <w:rPr>
          <w:b/>
          <w:spacing w:val="-3"/>
          <w:u w:val="single"/>
        </w:rPr>
      </w:pPr>
      <w:r>
        <w:rPr>
          <w:b/>
          <w:spacing w:val="-3"/>
          <w:u w:val="single"/>
        </w:rPr>
      </w:r>
    </w:p>
    <w:p>
      <w:pPr>
        <w:pStyle w:val="BodyText3"/>
        <w:tabs>
          <w:tab w:val="clear" w:pos="720"/>
          <w:tab w:val="right" w:pos="9360" w:leader="none"/>
        </w:tabs>
        <w:jc w:val="start"/>
        <w:rPr>
          <w:i/>
          <w:i/>
        </w:rPr>
      </w:pPr>
      <w:r>
        <w:rPr>
          <w:i/>
        </w:rPr>
        <w:tab/>
        <w:t>[NO UPDATE]</w:t>
      </w:r>
    </w:p>
    <w:p>
      <w:pPr>
        <w:pStyle w:val="BodyText3"/>
        <w:tabs>
          <w:tab w:val="clear" w:pos="720"/>
          <w:tab w:val="right" w:pos="9360" w:leader="none"/>
        </w:tabs>
        <w:jc w:val="start"/>
        <w:rPr>
          <w:i/>
          <w:i/>
        </w:rPr>
      </w:pPr>
      <w:r>
        <w:rPr>
          <w:i/>
        </w:rPr>
        <w:t>Utility Management &amp; Engineering, Inc. v. The Board of Water Commissioners of the City of East Orange</w:t>
      </w:r>
    </w:p>
    <w:p>
      <w:pPr>
        <w:pStyle w:val="BodyText3"/>
        <w:jc w:val="start"/>
        <w:rPr>
          <w:b w:val="false"/>
        </w:rPr>
      </w:pPr>
      <w:r>
        <w:rPr>
          <w:b w:val="false"/>
        </w:rPr>
        <w:t>(Superior Court of New Jersey, Essex County) (Vote) (local counsel—Lowenstein Sandler)</w:t>
      </w:r>
    </w:p>
    <w:p>
      <w:pPr>
        <w:pStyle w:val="Normal"/>
        <w:numPr>
          <w:ilvl w:val="0"/>
          <w:numId w:val="5"/>
        </w:numPr>
        <w:jc w:val="both"/>
        <w:rPr>
          <w:spacing w:val="-3"/>
        </w:rPr>
      </w:pPr>
      <w:r>
        <w:rPr>
          <w:spacing w:val="-3"/>
        </w:rPr>
        <w:t xml:space="preserve">Breach of contract and related tort claims for damages as result of Commission’s breach of contracts with UM&amp;E and failure to make payments due of $814,241 for the provision of professional water engineering services </w:t>
      </w:r>
    </w:p>
    <w:p>
      <w:pPr>
        <w:pStyle w:val="BodyText"/>
        <w:numPr>
          <w:ilvl w:val="0"/>
          <w:numId w:val="9"/>
        </w:numPr>
        <w:tabs>
          <w:tab w:val="clear" w:pos="9360"/>
        </w:tabs>
        <w:rPr/>
      </w:pPr>
      <w:r>
        <w:rPr/>
        <w:t>Suit filed September 14, 1999, but Notice of Dismissal filed by UM&amp;E on February 28, 2000, reserving right to refile if settlement not reached; settlement proposals exchanged</w:t>
      </w:r>
    </w:p>
    <w:p>
      <w:pPr>
        <w:pStyle w:val="BodyText"/>
        <w:numPr>
          <w:ilvl w:val="0"/>
          <w:numId w:val="9"/>
        </w:numPr>
        <w:tabs>
          <w:tab w:val="clear" w:pos="9360"/>
        </w:tabs>
        <w:rPr/>
      </w:pPr>
      <w:r>
        <w:rPr/>
        <w:t xml:space="preserve">Related suits </w:t>
      </w:r>
      <w:r>
        <w:rPr>
          <w:i/>
        </w:rPr>
        <w:t>EOWC and City v. UM&amp;E</w:t>
      </w:r>
      <w:r>
        <w:rPr/>
        <w:t xml:space="preserve">, Superior Court of New Jersey, Appellate Division, No. A-805-98 and </w:t>
      </w:r>
      <w:r>
        <w:rPr>
          <w:i/>
        </w:rPr>
        <w:t>City of Kearny v. EOWC v. UM&amp;E</w:t>
      </w:r>
      <w:r>
        <w:rPr/>
        <w:t>, Superior Court of New Jersey, Hudson County, No. HUD-L-6580-97</w:t>
      </w:r>
    </w:p>
    <w:p>
      <w:pPr>
        <w:pStyle w:val="BodyText"/>
        <w:tabs>
          <w:tab w:val="clear" w:pos="9360"/>
        </w:tabs>
        <w:rPr/>
      </w:pPr>
      <w:r>
        <w:rPr/>
      </w:r>
    </w:p>
    <w:p>
      <w:pPr>
        <w:pStyle w:val="BodyText"/>
        <w:tabs>
          <w:tab w:val="clear" w:pos="9360"/>
        </w:tabs>
        <w:jc w:val="center"/>
        <w:rPr>
          <w:b/>
          <w:bCs/>
          <w:u w:val="single"/>
        </w:rPr>
      </w:pPr>
      <w:r>
        <w:rPr>
          <w:b/>
          <w:bCs/>
          <w:u w:val="single"/>
        </w:rPr>
        <w:t>ENRON BROADBAND</w:t>
      </w:r>
    </w:p>
    <w:p>
      <w:pPr>
        <w:pStyle w:val="BodyText"/>
        <w:tabs>
          <w:tab w:val="clear" w:pos="9360"/>
        </w:tabs>
        <w:rPr>
          <w:b/>
          <w:bCs/>
          <w:u w:val="single"/>
        </w:rPr>
      </w:pPr>
      <w:r>
        <w:rPr>
          <w:b/>
          <w:bCs/>
          <w:u w:val="single"/>
        </w:rPr>
      </w:r>
    </w:p>
    <w:p>
      <w:pPr>
        <w:pStyle w:val="BodyText"/>
        <w:rPr>
          <w:b/>
          <w:bCs/>
          <w:i/>
          <w:i/>
          <w:iCs/>
        </w:rPr>
      </w:pPr>
      <w:r>
        <w:rPr>
          <w:b/>
          <w:bCs/>
          <w:i/>
          <w:iCs/>
        </w:rPr>
        <w:t>Simmons v. Enron Corp.</w:t>
        <w:tab/>
        <w:t>[UPDATED]</w:t>
      </w:r>
    </w:p>
    <w:p>
      <w:pPr>
        <w:pStyle w:val="BodyText"/>
        <w:tabs>
          <w:tab w:val="clear" w:pos="9360"/>
        </w:tabs>
        <w:rPr/>
      </w:pPr>
      <w:r>
        <w:rPr/>
        <w:t>(Harris County—state court ) (Vote) (Doug Hamel, Vinson &amp; Elkins—outside counsel)</w:t>
      </w:r>
    </w:p>
    <w:p>
      <w:pPr>
        <w:pStyle w:val="BodyText"/>
        <w:numPr>
          <w:ilvl w:val="0"/>
          <w:numId w:val="14"/>
        </w:numPr>
        <w:tabs>
          <w:tab w:val="clear" w:pos="9360"/>
        </w:tabs>
        <w:ind w:hanging="360" w:start="360" w:end="0"/>
        <w:rPr/>
      </w:pPr>
      <w:r>
        <w:rPr/>
        <w:t>Alleged gender discrimination relating to demotion and termination of employment; lost wages, bonuses and stock options sought</w:t>
      </w:r>
    </w:p>
    <w:p>
      <w:pPr>
        <w:pStyle w:val="BodyText"/>
        <w:numPr>
          <w:ilvl w:val="0"/>
          <w:numId w:val="14"/>
        </w:numPr>
        <w:tabs>
          <w:tab w:val="clear" w:pos="9360"/>
        </w:tabs>
        <w:ind w:hanging="360" w:start="360" w:end="0"/>
        <w:rPr/>
      </w:pPr>
      <w:r>
        <w:rPr>
          <w:b/>
          <w:bCs/>
        </w:rPr>
        <w:t>Complaint served May 24, 2001</w:t>
      </w:r>
    </w:p>
    <w:p>
      <w:pPr>
        <w:pStyle w:val="BodyText"/>
        <w:numPr>
          <w:ilvl w:val="0"/>
          <w:numId w:val="14"/>
        </w:numPr>
        <w:tabs>
          <w:tab w:val="clear" w:pos="9360"/>
        </w:tabs>
        <w:ind w:hanging="360" w:start="360" w:end="0"/>
        <w:rPr/>
      </w:pPr>
      <w:r>
        <w:rPr>
          <w:b/>
          <w:bCs/>
        </w:rPr>
        <w:t>Answer due June 18, 2001</w:t>
      </w:r>
    </w:p>
    <w:p>
      <w:pPr>
        <w:pStyle w:val="BodyText"/>
        <w:tabs>
          <w:tab w:val="clear" w:pos="9360"/>
        </w:tabs>
        <w:rPr/>
      </w:pPr>
      <w:r>
        <w:rPr/>
      </w:r>
    </w:p>
    <w:p>
      <w:pPr>
        <w:pStyle w:val="Normal"/>
        <w:jc w:val="center"/>
        <w:rPr>
          <w:b/>
          <w:spacing w:val="-3"/>
        </w:rPr>
      </w:pPr>
      <w:r>
        <w:rPr>
          <w:b/>
          <w:spacing w:val="-3"/>
          <w:u w:val="single"/>
        </w:rPr>
        <w:t>ENRON WHOLESALE</w:t>
      </w:r>
    </w:p>
    <w:p>
      <w:pPr>
        <w:pStyle w:val="Normal"/>
        <w:jc w:val="both"/>
        <w:rPr>
          <w:b/>
          <w:spacing w:val="-3"/>
        </w:rPr>
      </w:pPr>
      <w:r>
        <w:rPr>
          <w:b/>
          <w:spacing w:val="-3"/>
        </w:rPr>
      </w:r>
    </w:p>
    <w:p>
      <w:pPr>
        <w:pStyle w:val="Heading7"/>
        <w:ind w:hanging="0" w:start="0"/>
        <w:rPr/>
      </w:pPr>
      <w:r>
        <w:rPr/>
        <w:t>Berry Group, Inc., et al. v. Enron North America Corp.</w:t>
        <w:tab/>
        <w:t>[NO UPDATE]</w:t>
      </w:r>
    </w:p>
    <w:p>
      <w:pPr>
        <w:pStyle w:val="Normal"/>
        <w:tabs>
          <w:tab w:val="clear" w:pos="720"/>
          <w:tab w:val="right" w:pos="9360" w:leader="none"/>
        </w:tabs>
        <w:jc w:val="both"/>
        <w:rPr>
          <w:bCs/>
          <w:spacing w:val="-3"/>
        </w:rPr>
      </w:pPr>
      <w:r>
        <w:rPr>
          <w:bCs/>
          <w:spacing w:val="-3"/>
        </w:rPr>
        <w:t>(Corpus Christi, Texas county court) (White) (Roberta Hegland, Bracewell &amp; Patterson, Corpus Christi—local counsel)</w:t>
      </w:r>
    </w:p>
    <w:p>
      <w:pPr>
        <w:pStyle w:val="Normal"/>
        <w:numPr>
          <w:ilvl w:val="0"/>
          <w:numId w:val="2"/>
        </w:numPr>
        <w:tabs>
          <w:tab w:val="clear" w:pos="720"/>
        </w:tabs>
        <w:ind w:hanging="360" w:start="360" w:end="0"/>
        <w:jc w:val="both"/>
        <w:rPr>
          <w:bCs/>
          <w:spacing w:val="-3"/>
        </w:rPr>
      </w:pPr>
      <w:r>
        <w:rPr>
          <w:bCs/>
          <w:spacing w:val="-3"/>
        </w:rPr>
        <w:t>Alleged breach of contract, fraud, and negligent misrepresentation claims related to contracts between Berry and Qualitech Steel Corp. for lease, construction, and facility services at iron carbide plant on Corpus Christi ship channel</w:t>
      </w:r>
    </w:p>
    <w:p>
      <w:pPr>
        <w:pStyle w:val="Normal"/>
        <w:numPr>
          <w:ilvl w:val="0"/>
          <w:numId w:val="2"/>
        </w:numPr>
        <w:tabs>
          <w:tab w:val="clear" w:pos="720"/>
        </w:tabs>
        <w:ind w:hanging="360" w:start="360" w:end="0"/>
        <w:jc w:val="both"/>
        <w:rPr>
          <w:bCs/>
          <w:spacing w:val="-3"/>
        </w:rPr>
      </w:pPr>
      <w:r>
        <w:rPr>
          <w:bCs/>
          <w:spacing w:val="-3"/>
        </w:rPr>
        <w:t>Qualitech is in bankruptcy; ENA held equity interest in Qualitech</w:t>
      </w:r>
    </w:p>
    <w:p>
      <w:pPr>
        <w:pStyle w:val="Normal"/>
        <w:numPr>
          <w:ilvl w:val="0"/>
          <w:numId w:val="2"/>
        </w:numPr>
        <w:tabs>
          <w:tab w:val="clear" w:pos="720"/>
        </w:tabs>
        <w:ind w:hanging="360" w:start="360" w:end="0"/>
        <w:jc w:val="both"/>
        <w:rPr>
          <w:bCs/>
          <w:spacing w:val="-3"/>
        </w:rPr>
      </w:pPr>
      <w:r>
        <w:rPr>
          <w:bCs/>
          <w:spacing w:val="-3"/>
        </w:rPr>
        <w:t>Plaintiffs seek actual damages totaling $5,765,407.21, as well as unspecified, punitive damages, attorneys fees and costs</w:t>
      </w:r>
    </w:p>
    <w:p>
      <w:pPr>
        <w:pStyle w:val="Normal"/>
        <w:numPr>
          <w:ilvl w:val="0"/>
          <w:numId w:val="2"/>
        </w:numPr>
        <w:tabs>
          <w:tab w:val="clear" w:pos="720"/>
        </w:tabs>
        <w:ind w:hanging="360" w:start="360" w:end="0"/>
        <w:jc w:val="both"/>
        <w:rPr>
          <w:bCs/>
          <w:spacing w:val="-3"/>
        </w:rPr>
      </w:pPr>
      <w:r>
        <w:rPr>
          <w:bCs/>
          <w:spacing w:val="-3"/>
        </w:rPr>
        <w:t>Answer filed September 18, 2000; ENA is investigating whether to remove case to Indiana bankruptcy court</w:t>
      </w:r>
    </w:p>
    <w:p>
      <w:pPr>
        <w:pStyle w:val="Normal"/>
        <w:numPr>
          <w:ilvl w:val="0"/>
          <w:numId w:val="2"/>
        </w:numPr>
        <w:tabs>
          <w:tab w:val="clear" w:pos="720"/>
        </w:tabs>
        <w:ind w:hanging="360" w:start="360" w:end="0"/>
        <w:jc w:val="both"/>
        <w:rPr>
          <w:bCs/>
          <w:spacing w:val="-3"/>
        </w:rPr>
      </w:pPr>
      <w:r>
        <w:rPr>
          <w:bCs/>
          <w:spacing w:val="-3"/>
        </w:rPr>
        <w:t>ENA filed, but did not serve, third party action against Qualitech Steel Corporation; ENA must get bankruptcy court approval before it can proceed with third party action or attempt to remove case to bankruptcy court in Indiana</w:t>
      </w:r>
    </w:p>
    <w:p>
      <w:pPr>
        <w:pStyle w:val="Normal"/>
        <w:numPr>
          <w:ilvl w:val="0"/>
          <w:numId w:val="2"/>
        </w:numPr>
        <w:tabs>
          <w:tab w:val="clear" w:pos="720"/>
        </w:tabs>
        <w:ind w:hanging="360" w:start="360" w:end="0"/>
        <w:jc w:val="both"/>
        <w:rPr>
          <w:bCs/>
          <w:spacing w:val="-3"/>
        </w:rPr>
      </w:pPr>
      <w:r>
        <w:rPr>
          <w:bCs/>
          <w:spacing w:val="-3"/>
        </w:rPr>
        <w:t>Discovery ongoing</w:t>
      </w:r>
    </w:p>
    <w:p>
      <w:pPr>
        <w:pStyle w:val="Normal"/>
        <w:tabs>
          <w:tab w:val="clear" w:pos="720"/>
          <w:tab w:val="right" w:pos="9360" w:leader="none"/>
        </w:tabs>
        <w:jc w:val="both"/>
        <w:rPr>
          <w:b/>
          <w:i/>
          <w:i/>
          <w:iCs/>
          <w:spacing w:val="-3"/>
          <w:sz w:val="26"/>
        </w:rPr>
      </w:pPr>
      <w:r>
        <w:rPr>
          <w:bCs/>
          <w:spacing w:val="-3"/>
        </w:rPr>
        <w:tab/>
      </w:r>
    </w:p>
    <w:p>
      <w:pPr>
        <w:pStyle w:val="Normal"/>
        <w:tabs>
          <w:tab w:val="clear" w:pos="720"/>
          <w:tab w:val="right" w:pos="9360" w:leader="none"/>
        </w:tabs>
        <w:jc w:val="both"/>
        <w:rPr>
          <w:b/>
          <w:i/>
          <w:i/>
          <w:iCs/>
          <w:spacing w:val="-3"/>
          <w:sz w:val="26"/>
        </w:rPr>
      </w:pPr>
      <w:r>
        <w:rPr>
          <w:b/>
          <w:bCs/>
          <w:i/>
        </w:rPr>
        <w:t>In re Bahia Las Minas</w:t>
      </w:r>
      <w:r>
        <w:rPr>
          <w:iCs/>
        </w:rPr>
        <w:t xml:space="preserve"> (Panama)</w:t>
        <w:tab/>
      </w:r>
      <w:r>
        <w:rPr>
          <w:b/>
          <w:i/>
          <w:iCs/>
          <w:spacing w:val="-3"/>
        </w:rPr>
        <w:t>[NO UPDATE]</w:t>
      </w:r>
    </w:p>
    <w:p>
      <w:pPr>
        <w:pStyle w:val="Normal"/>
        <w:jc w:val="both"/>
        <w:rPr>
          <w:bCs/>
          <w:spacing w:val="-3"/>
        </w:rPr>
      </w:pPr>
      <w:r>
        <w:rPr>
          <w:bCs/>
          <w:spacing w:val="-3"/>
        </w:rPr>
        <w:t>(not yet filed) (Kisluk)</w:t>
      </w:r>
    </w:p>
    <w:p>
      <w:pPr>
        <w:pStyle w:val="Normal"/>
        <w:numPr>
          <w:ilvl w:val="0"/>
          <w:numId w:val="2"/>
        </w:numPr>
        <w:tabs>
          <w:tab w:val="clear" w:pos="720"/>
        </w:tabs>
        <w:ind w:hanging="360" w:start="360" w:end="0"/>
        <w:jc w:val="both"/>
        <w:rPr>
          <w:bCs/>
          <w:spacing w:val="-3"/>
        </w:rPr>
      </w:pPr>
      <w:r>
        <w:rPr>
          <w:bCs/>
          <w:spacing w:val="-3"/>
        </w:rPr>
        <w:t>Negotiating on behalf of BLM with it’s carrier’s subrogation counsel relative to various BLM property damage claims which have been paid by carrier</w:t>
      </w:r>
    </w:p>
    <w:p>
      <w:pPr>
        <w:pStyle w:val="Normal"/>
        <w:numPr>
          <w:ilvl w:val="0"/>
          <w:numId w:val="2"/>
        </w:numPr>
        <w:tabs>
          <w:tab w:val="clear" w:pos="720"/>
        </w:tabs>
        <w:ind w:hanging="360" w:start="360" w:end="0"/>
        <w:jc w:val="both"/>
        <w:rPr>
          <w:bCs/>
          <w:spacing w:val="-3"/>
        </w:rPr>
      </w:pPr>
      <w:r>
        <w:rPr>
          <w:bCs/>
          <w:spacing w:val="-3"/>
        </w:rPr>
        <w:t>Assisting in negotiation of insurance coverage for December 30, 2000 incident</w:t>
      </w:r>
    </w:p>
    <w:p>
      <w:pPr>
        <w:pStyle w:val="Normal"/>
        <w:numPr>
          <w:ilvl w:val="0"/>
          <w:numId w:val="2"/>
        </w:numPr>
        <w:tabs>
          <w:tab w:val="clear" w:pos="720"/>
        </w:tabs>
        <w:ind w:hanging="360" w:start="360" w:end="0"/>
        <w:jc w:val="both"/>
        <w:rPr>
          <w:bCs/>
          <w:spacing w:val="-3"/>
        </w:rPr>
      </w:pPr>
      <w:r>
        <w:rPr>
          <w:bCs/>
          <w:spacing w:val="-3"/>
        </w:rPr>
        <w:t>Assisting in drafting new</w:t>
      </w:r>
      <w:r>
        <w:rPr>
          <w:b/>
          <w:spacing w:val="-3"/>
        </w:rPr>
        <w:t xml:space="preserve"> </w:t>
      </w:r>
      <w:r>
        <w:rPr>
          <w:bCs/>
          <w:spacing w:val="-3"/>
        </w:rPr>
        <w:t>insurance policy with underwriters</w:t>
      </w:r>
    </w:p>
    <w:p>
      <w:pPr>
        <w:pStyle w:val="Normal"/>
        <w:jc w:val="both"/>
        <w:rPr>
          <w:bCs/>
          <w:spacing w:val="-3"/>
        </w:rPr>
      </w:pPr>
      <w:r>
        <w:rPr>
          <w:bCs/>
          <w:spacing w:val="-3"/>
        </w:rPr>
      </w:r>
    </w:p>
    <w:p>
      <w:pPr>
        <w:pStyle w:val="Heading8"/>
        <w:ind w:hanging="0" w:start="0"/>
        <w:rPr>
          <w:b/>
          <w:bCs w:val="false"/>
          <w:shadow w:val="false"/>
        </w:rPr>
      </w:pPr>
      <w:r>
        <w:rPr>
          <w:b/>
          <w:bCs w:val="false"/>
          <w:shadow w:val="false"/>
        </w:rPr>
        <w:t>Destec Properties v. Freestone County Central Appraisal District</w:t>
        <w:tab/>
        <w:t>[NO UPDATE]</w:t>
      </w:r>
    </w:p>
    <w:p>
      <w:pPr>
        <w:pStyle w:val="Normal"/>
        <w:tabs>
          <w:tab w:val="clear" w:pos="720"/>
          <w:tab w:val="right" w:pos="9360" w:leader="none"/>
        </w:tabs>
        <w:jc w:val="both"/>
        <w:rPr>
          <w:spacing w:val="-3"/>
        </w:rPr>
      </w:pPr>
      <w:r>
        <w:rPr>
          <w:spacing w:val="-3"/>
        </w:rPr>
        <w:t>(Freestone County, TX state court) (White) (Popp &amp; Ikard/Austin—trial counsel)</w:t>
      </w:r>
    </w:p>
    <w:p>
      <w:pPr>
        <w:pStyle w:val="Normal"/>
        <w:numPr>
          <w:ilvl w:val="0"/>
          <w:numId w:val="18"/>
        </w:numPr>
        <w:tabs>
          <w:tab w:val="clear" w:pos="720"/>
          <w:tab w:val="right" w:pos="9360" w:leader="none"/>
        </w:tabs>
        <w:jc w:val="both"/>
        <w:rPr>
          <w:spacing w:val="-3"/>
        </w:rPr>
      </w:pPr>
      <w:r>
        <w:rPr>
          <w:spacing w:val="-3"/>
        </w:rPr>
        <w:t>DPLP, acquired by ECT in mid-1997, initiated suit in 1992 seeking declaratory judgment as to tax liabilities for lignite-rich property in Freestone County; Appraisal District begun in 1992 taxing property based upon market value of estimated lignite reserves and assessing such tax against DPLP, as opposed to the owner and/or operator of the lignite mine; DPLP also sought recovery of taxes which it paid under protest for tax years 1992 through 1997; HL&amp;P (DPLP’s lessee and assignee of certain leases) and Northwestern Resources (operator of mine) intervened</w:t>
      </w:r>
    </w:p>
    <w:p>
      <w:pPr>
        <w:pStyle w:val="Normal"/>
        <w:numPr>
          <w:ilvl w:val="0"/>
          <w:numId w:val="18"/>
        </w:numPr>
        <w:tabs>
          <w:tab w:val="clear" w:pos="720"/>
          <w:tab w:val="right" w:pos="9360" w:leader="none"/>
        </w:tabs>
        <w:jc w:val="both"/>
        <w:rPr>
          <w:spacing w:val="-3"/>
        </w:rPr>
      </w:pPr>
      <w:r>
        <w:rPr>
          <w:spacing w:val="-3"/>
        </w:rPr>
        <w:t>Jury verdict found that the mine (which can be taxed based upon the value of the lignite) did not cover all of the property at issue, but only certain areas; remainder of property to be taxed upon market value of land, which the jury found to be approximately $600/acre; jury also found DPLP being treated unfairly by the taxing authority</w:t>
      </w:r>
    </w:p>
    <w:p>
      <w:pPr>
        <w:pStyle w:val="Normal"/>
        <w:numPr>
          <w:ilvl w:val="0"/>
          <w:numId w:val="18"/>
        </w:numPr>
        <w:tabs>
          <w:tab w:val="clear" w:pos="720"/>
          <w:tab w:val="right" w:pos="9360" w:leader="none"/>
        </w:tabs>
        <w:jc w:val="both"/>
        <w:rPr>
          <w:spacing w:val="-3"/>
        </w:rPr>
      </w:pPr>
      <w:r>
        <w:rPr>
          <w:spacing w:val="-3"/>
        </w:rPr>
        <w:t>Judgment rendered on jury verdict and assessing taxes for lignite within mine to DPLP, as to properties for which DPLP receives overriding royalty from HL&amp;P</w:t>
      </w:r>
    </w:p>
    <w:p>
      <w:pPr>
        <w:pStyle w:val="Normal"/>
        <w:numPr>
          <w:ilvl w:val="0"/>
          <w:numId w:val="18"/>
        </w:numPr>
        <w:tabs>
          <w:tab w:val="clear" w:pos="720"/>
          <w:tab w:val="right" w:pos="9360" w:leader="none"/>
        </w:tabs>
        <w:jc w:val="both"/>
        <w:rPr>
          <w:spacing w:val="-3"/>
        </w:rPr>
      </w:pPr>
      <w:r>
        <w:rPr>
          <w:spacing w:val="-3"/>
        </w:rPr>
        <w:t>Appraisal District moved for new trial, which was denied on February 26, 1998</w:t>
      </w:r>
    </w:p>
    <w:p>
      <w:pPr>
        <w:pStyle w:val="Normal"/>
        <w:numPr>
          <w:ilvl w:val="0"/>
          <w:numId w:val="18"/>
        </w:numPr>
        <w:tabs>
          <w:tab w:val="clear" w:pos="720"/>
          <w:tab w:val="right" w:pos="9360" w:leader="none"/>
        </w:tabs>
        <w:jc w:val="both"/>
        <w:rPr>
          <w:spacing w:val="-3"/>
        </w:rPr>
      </w:pPr>
      <w:r>
        <w:rPr>
          <w:spacing w:val="-3"/>
        </w:rPr>
        <w:t>DPLP filed notice of appeal</w:t>
      </w:r>
    </w:p>
    <w:p>
      <w:pPr>
        <w:pStyle w:val="Normal"/>
        <w:numPr>
          <w:ilvl w:val="0"/>
          <w:numId w:val="18"/>
        </w:numPr>
        <w:tabs>
          <w:tab w:val="clear" w:pos="720"/>
          <w:tab w:val="right" w:pos="9360" w:leader="none"/>
        </w:tabs>
        <w:jc w:val="both"/>
        <w:rPr>
          <w:spacing w:val="-3"/>
        </w:rPr>
      </w:pPr>
      <w:r>
        <w:rPr>
          <w:spacing w:val="-3"/>
        </w:rPr>
        <w:t>DPLP filed new petition during November 1998 to preserve appeal of 1998 tax valuations; Appraisal District filed general denial</w:t>
      </w:r>
    </w:p>
    <w:p>
      <w:pPr>
        <w:pStyle w:val="Normal"/>
        <w:numPr>
          <w:ilvl w:val="0"/>
          <w:numId w:val="18"/>
        </w:numPr>
        <w:tabs>
          <w:tab w:val="clear" w:pos="720"/>
          <w:tab w:val="right" w:pos="9360" w:leader="none"/>
        </w:tabs>
        <w:jc w:val="both"/>
        <w:rPr>
          <w:spacing w:val="-3"/>
        </w:rPr>
      </w:pPr>
      <w:r>
        <w:rPr>
          <w:spacing w:val="-3"/>
        </w:rPr>
        <w:t>Court of Appeals, Waco, affirmed trial court judgment on August 31, 1999</w:t>
      </w:r>
    </w:p>
    <w:p>
      <w:pPr>
        <w:pStyle w:val="Normal"/>
        <w:numPr>
          <w:ilvl w:val="0"/>
          <w:numId w:val="18"/>
        </w:numPr>
        <w:tabs>
          <w:tab w:val="clear" w:pos="720"/>
          <w:tab w:val="right" w:pos="9360" w:leader="none"/>
        </w:tabs>
        <w:jc w:val="both"/>
        <w:rPr>
          <w:spacing w:val="-3"/>
        </w:rPr>
      </w:pPr>
      <w:r>
        <w:rPr>
          <w:spacing w:val="-3"/>
        </w:rPr>
        <w:t>Petition for review to Texas Supreme Court denied August 24, 2000; motion for rehearing denied October 26, 2000</w:t>
      </w:r>
    </w:p>
    <w:p>
      <w:pPr>
        <w:pStyle w:val="Normal"/>
        <w:numPr>
          <w:ilvl w:val="0"/>
          <w:numId w:val="18"/>
        </w:numPr>
        <w:tabs>
          <w:tab w:val="clear" w:pos="720"/>
          <w:tab w:val="right" w:pos="9360" w:leader="none"/>
        </w:tabs>
        <w:jc w:val="both"/>
        <w:rPr>
          <w:spacing w:val="-3"/>
        </w:rPr>
      </w:pPr>
      <w:r>
        <w:rPr>
          <w:spacing w:val="-3"/>
        </w:rPr>
        <w:t xml:space="preserve">Work ongoing with NGC to divide escrow account regarding tax liabilities created at close of DPLP purchase </w:t>
      </w:r>
    </w:p>
    <w:p>
      <w:pPr>
        <w:pStyle w:val="Normal"/>
        <w:numPr>
          <w:ilvl w:val="0"/>
          <w:numId w:val="18"/>
        </w:numPr>
        <w:tabs>
          <w:tab w:val="clear" w:pos="720"/>
          <w:tab w:val="right" w:pos="9360" w:leader="none"/>
        </w:tabs>
        <w:jc w:val="both"/>
        <w:rPr>
          <w:spacing w:val="-3"/>
        </w:rPr>
      </w:pPr>
      <w:r>
        <w:rPr>
          <w:i/>
          <w:spacing w:val="-3"/>
        </w:rPr>
        <w:t>See Destec v. Leon County</w:t>
      </w:r>
    </w:p>
    <w:p>
      <w:pPr>
        <w:pStyle w:val="Normal"/>
        <w:tabs>
          <w:tab w:val="clear" w:pos="720"/>
          <w:tab w:val="right" w:pos="9360" w:leader="none"/>
        </w:tabs>
        <w:jc w:val="both"/>
        <w:rPr>
          <w:b/>
          <w:spacing w:val="-3"/>
        </w:rPr>
      </w:pPr>
      <w:r>
        <w:rPr>
          <w:b/>
          <w:spacing w:val="-3"/>
        </w:rPr>
      </w:r>
    </w:p>
    <w:p>
      <w:pPr>
        <w:pStyle w:val="Heading8"/>
        <w:ind w:hanging="0" w:start="0"/>
        <w:rPr>
          <w:b/>
          <w:bCs w:val="false"/>
          <w:shadow w:val="false"/>
        </w:rPr>
      </w:pPr>
      <w:r>
        <w:rPr>
          <w:b/>
          <w:bCs w:val="false"/>
          <w:shadow w:val="false"/>
        </w:rPr>
        <w:t>Destec Properties v. Leon County Appraisal District</w:t>
        <w:tab/>
        <w:t>[NO UPDATE]</w:t>
      </w:r>
    </w:p>
    <w:p>
      <w:pPr>
        <w:pStyle w:val="Normal"/>
        <w:tabs>
          <w:tab w:val="clear" w:pos="720"/>
          <w:tab w:val="right" w:pos="9360" w:leader="none"/>
        </w:tabs>
        <w:jc w:val="both"/>
        <w:rPr>
          <w:spacing w:val="-3"/>
        </w:rPr>
      </w:pPr>
      <w:r>
        <w:rPr>
          <w:spacing w:val="-3"/>
        </w:rPr>
        <w:t>(Leon County, TX state court) (White) (Popp &amp; Ikard/Austin—trial counsel)</w:t>
      </w:r>
    </w:p>
    <w:p>
      <w:pPr>
        <w:pStyle w:val="Normal"/>
        <w:numPr>
          <w:ilvl w:val="0"/>
          <w:numId w:val="18"/>
        </w:numPr>
        <w:tabs>
          <w:tab w:val="clear" w:pos="720"/>
          <w:tab w:val="right" w:pos="9360" w:leader="none"/>
        </w:tabs>
        <w:jc w:val="both"/>
        <w:rPr>
          <w:spacing w:val="-3"/>
        </w:rPr>
      </w:pPr>
      <w:r>
        <w:rPr>
          <w:spacing w:val="-3"/>
        </w:rPr>
        <w:t xml:space="preserve">Companion case to </w:t>
      </w:r>
      <w:r>
        <w:rPr>
          <w:i/>
          <w:spacing w:val="-3"/>
        </w:rPr>
        <w:t>Destec v. Freestone County</w:t>
      </w:r>
      <w:r>
        <w:rPr>
          <w:spacing w:val="-3"/>
        </w:rPr>
        <w:t>; same allegations and pending before same judge</w:t>
      </w:r>
    </w:p>
    <w:p>
      <w:pPr>
        <w:pStyle w:val="Normal"/>
        <w:numPr>
          <w:ilvl w:val="0"/>
          <w:numId w:val="18"/>
        </w:numPr>
        <w:tabs>
          <w:tab w:val="clear" w:pos="720"/>
          <w:tab w:val="right" w:pos="9360" w:leader="none"/>
        </w:tabs>
        <w:jc w:val="both"/>
        <w:rPr>
          <w:spacing w:val="-3"/>
        </w:rPr>
      </w:pPr>
      <w:r>
        <w:rPr>
          <w:spacing w:val="-3"/>
        </w:rPr>
        <w:t>Additional petition filed by DPLP during November 1998 to preserve appeal of 1998 tax valuations; Appraisal District filed general denial</w:t>
      </w:r>
    </w:p>
    <w:p>
      <w:pPr>
        <w:pStyle w:val="Normal"/>
        <w:numPr>
          <w:ilvl w:val="0"/>
          <w:numId w:val="18"/>
        </w:numPr>
        <w:tabs>
          <w:tab w:val="clear" w:pos="720"/>
          <w:tab w:val="right" w:pos="9360" w:leader="none"/>
        </w:tabs>
        <w:jc w:val="both"/>
        <w:rPr>
          <w:spacing w:val="-3"/>
        </w:rPr>
      </w:pPr>
      <w:r>
        <w:rPr>
          <w:i/>
          <w:spacing w:val="-3"/>
        </w:rPr>
        <w:t>See Destec v. Freestone County</w:t>
      </w:r>
    </w:p>
    <w:p>
      <w:pPr>
        <w:pStyle w:val="Normal"/>
        <w:tabs>
          <w:tab w:val="clear" w:pos="720"/>
          <w:tab w:val="right" w:pos="9360" w:leader="none"/>
        </w:tabs>
        <w:jc w:val="both"/>
        <w:rPr>
          <w:spacing w:val="-3"/>
        </w:rPr>
      </w:pPr>
      <w:r>
        <w:rPr>
          <w:spacing w:val="-3"/>
        </w:rPr>
      </w:r>
    </w:p>
    <w:p>
      <w:pPr>
        <w:pStyle w:val="Normal"/>
        <w:tabs>
          <w:tab w:val="clear" w:pos="720"/>
          <w:tab w:val="right" w:pos="9360" w:leader="none"/>
        </w:tabs>
        <w:jc w:val="both"/>
        <w:rPr>
          <w:b/>
          <w:i/>
          <w:i/>
          <w:iCs/>
          <w:spacing w:val="-3"/>
          <w:sz w:val="26"/>
        </w:rPr>
      </w:pPr>
      <w:r>
        <w:rPr>
          <w:bCs/>
          <w:spacing w:val="-3"/>
        </w:rPr>
        <w:tab/>
      </w:r>
      <w:r>
        <w:rPr>
          <w:b/>
          <w:i/>
          <w:iCs/>
          <w:spacing w:val="-3"/>
        </w:rPr>
        <w:t>[NO UPDATE}</w:t>
      </w:r>
    </w:p>
    <w:p>
      <w:pPr>
        <w:pStyle w:val="Heading7"/>
        <w:tabs>
          <w:tab w:val="clear" w:pos="9360"/>
        </w:tabs>
        <w:ind w:hanging="0" w:start="0"/>
        <w:rPr>
          <w:iCs/>
        </w:rPr>
      </w:pPr>
      <w:r>
        <w:rPr>
          <w:iCs/>
        </w:rPr>
        <w:t>In re EcoElectrica</w:t>
      </w:r>
    </w:p>
    <w:p>
      <w:pPr>
        <w:pStyle w:val="Normal"/>
        <w:jc w:val="both"/>
        <w:rPr>
          <w:bCs/>
          <w:spacing w:val="-3"/>
        </w:rPr>
      </w:pPr>
      <w:r>
        <w:rPr>
          <w:bCs/>
          <w:spacing w:val="-3"/>
        </w:rPr>
        <w:t>(not yet filed) (Kisluk)</w:t>
      </w:r>
    </w:p>
    <w:p>
      <w:pPr>
        <w:pStyle w:val="Normal"/>
        <w:numPr>
          <w:ilvl w:val="0"/>
          <w:numId w:val="2"/>
        </w:numPr>
        <w:tabs>
          <w:tab w:val="clear" w:pos="720"/>
        </w:tabs>
        <w:ind w:hanging="360" w:start="360" w:end="0"/>
        <w:jc w:val="both"/>
        <w:rPr>
          <w:bCs/>
          <w:spacing w:val="-3"/>
        </w:rPr>
      </w:pPr>
      <w:r>
        <w:rPr>
          <w:bCs/>
          <w:spacing w:val="-3"/>
        </w:rPr>
        <w:t>Negotiation of various property damage claims noticed to EcoElectrica’s insurance carrier</w:t>
      </w:r>
    </w:p>
    <w:p>
      <w:pPr>
        <w:pStyle w:val="Normal"/>
        <w:jc w:val="both"/>
        <w:rPr>
          <w:bCs/>
          <w:spacing w:val="-3"/>
        </w:rPr>
      </w:pPr>
      <w:r>
        <w:rPr>
          <w:bCs/>
          <w:spacing w:val="-3"/>
        </w:rPr>
      </w:r>
    </w:p>
    <w:p>
      <w:pPr>
        <w:pStyle w:val="Heading7"/>
        <w:suppressAutoHyphens w:val="true"/>
        <w:ind w:hanging="0" w:start="0"/>
        <w:rPr>
          <w:spacing w:val="0"/>
        </w:rPr>
      </w:pPr>
      <w:r>
        <w:rPr>
          <w:spacing w:val="0"/>
        </w:rPr>
        <w:t>In re Empresa Energetica Corinto, Ltd. (Nicaragua)</w:t>
        <w:tab/>
        <w:t>[NO UPDATE]</w:t>
      </w:r>
    </w:p>
    <w:p>
      <w:pPr>
        <w:pStyle w:val="toaheading"/>
        <w:spacing w:before="0" w:after="0"/>
        <w:rPr>
          <w:b w:val="false"/>
          <w:bCs/>
          <w:caps w:val="false"/>
          <w:smallCaps w:val="false"/>
        </w:rPr>
      </w:pPr>
      <w:r>
        <w:rPr>
          <w:b w:val="false"/>
          <w:bCs/>
          <w:caps w:val="false"/>
          <w:smallCaps w:val="false"/>
        </w:rPr>
        <w:t>(not yet filed) (Kisluk)</w:t>
      </w:r>
    </w:p>
    <w:p>
      <w:pPr>
        <w:pStyle w:val="Normal"/>
        <w:numPr>
          <w:ilvl w:val="0"/>
          <w:numId w:val="7"/>
        </w:numPr>
        <w:tabs>
          <w:tab w:val="clear" w:pos="720"/>
        </w:tabs>
        <w:ind w:hanging="360" w:start="360" w:end="0"/>
        <w:rPr>
          <w:bCs/>
        </w:rPr>
      </w:pPr>
      <w:r>
        <w:rPr>
          <w:bCs/>
        </w:rPr>
        <w:t>Assisting in negotiation of property damage coverage for April 2-3, 2001 incident</w:t>
      </w:r>
    </w:p>
    <w:p>
      <w:pPr>
        <w:pStyle w:val="Normal"/>
        <w:tabs>
          <w:tab w:val="clear" w:pos="720"/>
          <w:tab w:val="right" w:pos="9360" w:leader="none"/>
        </w:tabs>
        <w:jc w:val="both"/>
        <w:rPr>
          <w:bCs/>
          <w:spacing w:val="-3"/>
        </w:rPr>
      </w:pPr>
      <w:r>
        <w:rPr>
          <w:bCs/>
          <w:spacing w:val="-3"/>
        </w:rPr>
      </w:r>
    </w:p>
    <w:p>
      <w:pPr>
        <w:pStyle w:val="Heading7"/>
        <w:suppressAutoHyphens w:val="true"/>
        <w:ind w:hanging="0" w:start="0"/>
        <w:rPr>
          <w:spacing w:val="0"/>
        </w:rPr>
      </w:pPr>
      <w:r>
        <w:rPr>
          <w:spacing w:val="0"/>
        </w:rPr>
        <w:t>In re George Frumkin Discrimination Claim</w:t>
        <w:tab/>
        <w:t>[UPDATED]</w:t>
      </w:r>
    </w:p>
    <w:p>
      <w:pPr>
        <w:pStyle w:val="toaheading"/>
        <w:spacing w:before="0" w:after="0"/>
        <w:rPr>
          <w:b w:val="false"/>
          <w:caps w:val="false"/>
          <w:smallCaps w:val="false"/>
        </w:rPr>
      </w:pPr>
      <w:r>
        <w:rPr>
          <w:b w:val="false"/>
          <w:caps w:val="false"/>
          <w:smallCaps w:val="false"/>
        </w:rPr>
        <w:t>(not yet filed) (Vote)</w:t>
      </w:r>
    </w:p>
    <w:p>
      <w:pPr>
        <w:pStyle w:val="Normal"/>
        <w:numPr>
          <w:ilvl w:val="0"/>
          <w:numId w:val="7"/>
        </w:numPr>
        <w:tabs>
          <w:tab w:val="clear" w:pos="720"/>
        </w:tabs>
        <w:ind w:hanging="360" w:start="360" w:end="0"/>
        <w:rPr/>
      </w:pPr>
      <w:r>
        <w:rPr/>
        <w:t xml:space="preserve">Alleged wrongful discharge in violation of the </w:t>
      </w:r>
      <w:r>
        <w:rPr>
          <w:i/>
          <w:iCs/>
        </w:rPr>
        <w:t>Sabine Pilot</w:t>
      </w:r>
      <w:r>
        <w:rPr/>
        <w:t xml:space="preserve"> exception to the employment at will doctrine</w:t>
      </w:r>
    </w:p>
    <w:p>
      <w:pPr>
        <w:pStyle w:val="Normal"/>
        <w:numPr>
          <w:ilvl w:val="0"/>
          <w:numId w:val="7"/>
        </w:numPr>
        <w:tabs>
          <w:tab w:val="clear" w:pos="720"/>
        </w:tabs>
        <w:ind w:hanging="360" w:start="360" w:end="0"/>
        <w:rPr/>
      </w:pPr>
      <w:r>
        <w:rPr/>
        <w:t>Claimant seeks actual and punitive damages</w:t>
      </w:r>
    </w:p>
    <w:p>
      <w:pPr>
        <w:pStyle w:val="Normal"/>
        <w:numPr>
          <w:ilvl w:val="0"/>
          <w:numId w:val="7"/>
        </w:numPr>
        <w:tabs>
          <w:tab w:val="clear" w:pos="720"/>
        </w:tabs>
        <w:ind w:hanging="360" w:start="360" w:end="0"/>
        <w:rPr/>
      </w:pPr>
      <w:r>
        <w:rPr/>
        <w:t>Investigation in anticipation of litigation initiated</w:t>
      </w:r>
    </w:p>
    <w:p>
      <w:pPr>
        <w:pStyle w:val="Normal"/>
        <w:numPr>
          <w:ilvl w:val="0"/>
          <w:numId w:val="7"/>
        </w:numPr>
        <w:tabs>
          <w:tab w:val="clear" w:pos="720"/>
        </w:tabs>
        <w:ind w:hanging="360" w:start="360" w:end="0"/>
        <w:rPr/>
      </w:pPr>
      <w:r>
        <w:rPr/>
        <w:t>Mediation held May 24, 2001;</w:t>
      </w:r>
      <w:r>
        <w:rPr>
          <w:b/>
          <w:bCs/>
        </w:rPr>
        <w:t xml:space="preserve"> tentative settlement has been reached</w:t>
      </w:r>
    </w:p>
    <w:p>
      <w:pPr>
        <w:pStyle w:val="Normal"/>
        <w:tabs>
          <w:tab w:val="clear" w:pos="720"/>
          <w:tab w:val="right" w:pos="9360" w:leader="none"/>
        </w:tabs>
        <w:jc w:val="both"/>
        <w:rPr>
          <w:b/>
          <w:spacing w:val="-3"/>
        </w:rPr>
      </w:pPr>
      <w:r>
        <w:rPr>
          <w:b/>
          <w:spacing w:val="-3"/>
        </w:rPr>
      </w:r>
    </w:p>
    <w:p>
      <w:pPr>
        <w:pStyle w:val="Normal"/>
        <w:jc w:val="both"/>
        <w:rPr>
          <w:b/>
          <w:spacing w:val="-3"/>
        </w:rPr>
      </w:pPr>
      <w:r>
        <w:rPr>
          <w:b/>
          <w:spacing w:val="-3"/>
        </w:rPr>
      </w:r>
      <w:r>
        <w:br w:type="page"/>
      </w:r>
    </w:p>
    <w:p>
      <w:pPr>
        <w:pStyle w:val="Heading7"/>
        <w:ind w:hanging="0" w:start="0"/>
        <w:rPr/>
      </w:pPr>
      <w:r>
        <w:rPr/>
        <w:t>Interfert, S.A. v. EGLI and EGLE</w:t>
        <w:tab/>
        <w:t>[NO UPDATE]</w:t>
      </w:r>
    </w:p>
    <w:p>
      <w:pPr>
        <w:pStyle w:val="Normal"/>
        <w:tabs>
          <w:tab w:val="clear" w:pos="720"/>
          <w:tab w:val="right" w:pos="9360" w:leader="none"/>
        </w:tabs>
        <w:jc w:val="both"/>
        <w:rPr>
          <w:spacing w:val="-3"/>
        </w:rPr>
      </w:pPr>
      <w:r>
        <w:rPr>
          <w:spacing w:val="-3"/>
        </w:rPr>
        <w:t>(Court of Appeals, Versailles, France) (Davis) (Honig, Buffat, Mettatal &amp; Freshfield—local counsel)</w:t>
      </w:r>
    </w:p>
    <w:p>
      <w:pPr>
        <w:pStyle w:val="Normal"/>
        <w:numPr>
          <w:ilvl w:val="0"/>
          <w:numId w:val="18"/>
        </w:numPr>
        <w:tabs>
          <w:tab w:val="clear" w:pos="720"/>
          <w:tab w:val="right" w:pos="9360" w:leader="none"/>
        </w:tabs>
        <w:jc w:val="both"/>
        <w:rPr>
          <w:spacing w:val="-3"/>
        </w:rPr>
      </w:pPr>
      <w:r>
        <w:rPr>
          <w:spacing w:val="-3"/>
        </w:rPr>
        <w:t>Alleged breach by EGLE of oral brokers’ agreement with Interfert for fertilizer trades in France; alleged tortious interference by EGLI with same contract</w:t>
      </w:r>
    </w:p>
    <w:p>
      <w:pPr>
        <w:pStyle w:val="Normal"/>
        <w:numPr>
          <w:ilvl w:val="0"/>
          <w:numId w:val="18"/>
        </w:numPr>
        <w:tabs>
          <w:tab w:val="clear" w:pos="720"/>
          <w:tab w:val="right" w:pos="9360" w:leader="none"/>
        </w:tabs>
        <w:jc w:val="both"/>
        <w:rPr>
          <w:spacing w:val="-3"/>
        </w:rPr>
      </w:pPr>
      <w:r>
        <w:rPr>
          <w:spacing w:val="-3"/>
        </w:rPr>
        <w:t>Interfert claims damages for loss of commissions, loss of clientele, wrongful termination of contract without notice, unfair competition and legal costs</w:t>
      </w:r>
    </w:p>
    <w:p>
      <w:pPr>
        <w:pStyle w:val="Normal"/>
        <w:numPr>
          <w:ilvl w:val="0"/>
          <w:numId w:val="18"/>
        </w:numPr>
        <w:tabs>
          <w:tab w:val="clear" w:pos="720"/>
          <w:tab w:val="right" w:pos="9360" w:leader="none"/>
        </w:tabs>
        <w:jc w:val="both"/>
        <w:rPr>
          <w:spacing w:val="-3"/>
        </w:rPr>
      </w:pPr>
      <w:r>
        <w:rPr>
          <w:spacing w:val="-3"/>
        </w:rPr>
        <w:t>Interfert’s alleged damages equal approximately $853,000, exclusive of prejudgment interest, which may add approximately $570,000</w:t>
      </w:r>
    </w:p>
    <w:p>
      <w:pPr>
        <w:pStyle w:val="Normal"/>
        <w:numPr>
          <w:ilvl w:val="0"/>
          <w:numId w:val="18"/>
        </w:numPr>
        <w:tabs>
          <w:tab w:val="clear" w:pos="720"/>
          <w:tab w:val="right" w:pos="9360" w:leader="none"/>
        </w:tabs>
        <w:jc w:val="both"/>
        <w:rPr>
          <w:spacing w:val="-3"/>
        </w:rPr>
      </w:pPr>
      <w:r>
        <w:rPr>
          <w:spacing w:val="-3"/>
        </w:rPr>
        <w:t>Trial took place September 17, 1998; court rendered judgment effective November 12, 1998, holding EGLE liable and preliminarily awarding Interfert approximately $136,000 in compensatory damages and approximately $11,000 in attorneys’ fees; court also appointed accounting expert to advise re final damage ruling; expert required to complete investigation within ten months; during interim, Interfert can execute on preliminary damage award</w:t>
      </w:r>
    </w:p>
    <w:p>
      <w:pPr>
        <w:pStyle w:val="Normal"/>
        <w:numPr>
          <w:ilvl w:val="0"/>
          <w:numId w:val="18"/>
        </w:numPr>
        <w:tabs>
          <w:tab w:val="clear" w:pos="720"/>
          <w:tab w:val="right" w:pos="9360" w:leader="none"/>
        </w:tabs>
        <w:jc w:val="both"/>
        <w:rPr>
          <w:spacing w:val="-3"/>
        </w:rPr>
      </w:pPr>
      <w:r>
        <w:rPr>
          <w:spacing w:val="-3"/>
        </w:rPr>
        <w:t>EGLI and EGLE have appealed to Supreme Court of France; however, appeal does not stay preliminary award, which EGLE has timely paid</w:t>
      </w:r>
    </w:p>
    <w:p>
      <w:pPr>
        <w:pStyle w:val="Normal"/>
        <w:numPr>
          <w:ilvl w:val="0"/>
          <w:numId w:val="18"/>
        </w:numPr>
        <w:tabs>
          <w:tab w:val="clear" w:pos="720"/>
          <w:tab w:val="right" w:pos="9360" w:leader="none"/>
        </w:tabs>
        <w:jc w:val="both"/>
        <w:rPr>
          <w:spacing w:val="-3"/>
        </w:rPr>
      </w:pPr>
      <w:r>
        <w:rPr>
          <w:spacing w:val="-3"/>
        </w:rPr>
        <w:t>EGLI and EGLE have retained expert to liaise with court-appointed expert</w:t>
      </w:r>
    </w:p>
    <w:p>
      <w:pPr>
        <w:pStyle w:val="Normal"/>
        <w:numPr>
          <w:ilvl w:val="0"/>
          <w:numId w:val="18"/>
        </w:numPr>
        <w:tabs>
          <w:tab w:val="clear" w:pos="720"/>
          <w:tab w:val="right" w:pos="9360" w:leader="none"/>
        </w:tabs>
        <w:jc w:val="both"/>
        <w:rPr>
          <w:spacing w:val="-3"/>
        </w:rPr>
      </w:pPr>
      <w:r>
        <w:rPr>
          <w:spacing w:val="-3"/>
        </w:rPr>
        <w:t>On October 19, 2000, parties had final meeting with court-appointed expert, whose report is expected shortly</w:t>
      </w:r>
    </w:p>
    <w:p>
      <w:pPr>
        <w:pStyle w:val="Normal"/>
        <w:numPr>
          <w:ilvl w:val="0"/>
          <w:numId w:val="18"/>
        </w:numPr>
        <w:tabs>
          <w:tab w:val="clear" w:pos="720"/>
          <w:tab w:val="right" w:pos="9360" w:leader="none"/>
        </w:tabs>
        <w:jc w:val="both"/>
        <w:rPr>
          <w:spacing w:val="-3"/>
        </w:rPr>
      </w:pPr>
      <w:r>
        <w:rPr>
          <w:spacing w:val="-3"/>
        </w:rPr>
        <w:t>The court-appointed expert has issued his final report which states that in a worst-case scenario, ECT is liable for no more than an additional approximately $25,000 in unpaid commissions; the report is silent as to other possible damages the court may choose to assess in addition to this</w:t>
      </w:r>
    </w:p>
    <w:p>
      <w:pPr>
        <w:pStyle w:val="Normal"/>
        <w:tabs>
          <w:tab w:val="clear" w:pos="720"/>
          <w:tab w:val="right" w:pos="9360" w:leader="none"/>
        </w:tabs>
        <w:jc w:val="both"/>
        <w:rPr>
          <w:spacing w:val="-3"/>
        </w:rPr>
      </w:pPr>
      <w:r>
        <w:rPr>
          <w:spacing w:val="-3"/>
        </w:rPr>
      </w:r>
    </w:p>
    <w:p>
      <w:pPr>
        <w:pStyle w:val="Heading7"/>
        <w:ind w:hanging="0" w:start="0"/>
        <w:rPr>
          <w:bCs/>
        </w:rPr>
      </w:pPr>
      <w:r>
        <w:rPr>
          <w:bCs/>
        </w:rPr>
        <w:t>In re M/V OBOD</w:t>
        <w:tab/>
        <w:t>[UPDATED]</w:t>
      </w:r>
    </w:p>
    <w:p>
      <w:pPr>
        <w:pStyle w:val="Normal"/>
        <w:tabs>
          <w:tab w:val="clear" w:pos="720"/>
          <w:tab w:val="right" w:pos="9360" w:leader="none"/>
        </w:tabs>
        <w:jc w:val="both"/>
        <w:rPr>
          <w:spacing w:val="-3"/>
        </w:rPr>
      </w:pPr>
      <w:r>
        <w:rPr>
          <w:spacing w:val="-3"/>
        </w:rPr>
        <w:t>(not yet filed) (Davis) (Howard McCormack, Healey and Baillie, New York—outside counsel; Mark Desmarais, Goodsill, Anderson, Quinn &amp; Stifel, Honolulu—local counsel)</w:t>
      </w:r>
    </w:p>
    <w:p>
      <w:pPr>
        <w:pStyle w:val="Normal"/>
        <w:numPr>
          <w:ilvl w:val="0"/>
          <w:numId w:val="15"/>
        </w:numPr>
        <w:tabs>
          <w:tab w:val="clear" w:pos="720"/>
        </w:tabs>
        <w:ind w:hanging="360" w:start="360" w:end="0"/>
        <w:jc w:val="both"/>
        <w:rPr>
          <w:spacing w:val="-3"/>
        </w:rPr>
      </w:pPr>
      <w:r>
        <w:rPr>
          <w:spacing w:val="-3"/>
        </w:rPr>
        <w:t>Enron Metals purchased approximately 12,000 metric tons of lead and zinc at a cost of approximately $5,000,000; Enron Metals voyage-chartered the M/V OBOD from Panobulk/Pan Ocean to load the cargo in China and discharge it in Baltimore by about mid-October; the metal was for various forward contracts for which deliveries were to come due beginning in November 2000</w:t>
      </w:r>
    </w:p>
    <w:p>
      <w:pPr>
        <w:pStyle w:val="Normal"/>
        <w:numPr>
          <w:ilvl w:val="0"/>
          <w:numId w:val="15"/>
        </w:numPr>
        <w:tabs>
          <w:tab w:val="clear" w:pos="720"/>
        </w:tabs>
        <w:ind w:hanging="360" w:start="360" w:end="0"/>
        <w:jc w:val="both"/>
        <w:rPr>
          <w:spacing w:val="-3"/>
        </w:rPr>
      </w:pPr>
      <w:r>
        <w:rPr>
          <w:spacing w:val="-3"/>
        </w:rPr>
        <w:t>The M/V OBOD and Enron Metals’ cargo have been under arrest in the Port of Honolulu since approximately December 28, 2000; the current arrest was filed by Nordic Technical Development, Inc., the owner of a towing vessel that towed the ship into port in November after it sustained mechanical problems approximately halfway between Honolulu and the Panama Canal</w:t>
      </w:r>
    </w:p>
    <w:p>
      <w:pPr>
        <w:pStyle w:val="Normal"/>
        <w:numPr>
          <w:ilvl w:val="0"/>
          <w:numId w:val="15"/>
        </w:numPr>
        <w:tabs>
          <w:tab w:val="clear" w:pos="720"/>
        </w:tabs>
        <w:ind w:hanging="360" w:start="360" w:end="0"/>
        <w:jc w:val="both"/>
        <w:rPr>
          <w:spacing w:val="-3"/>
        </w:rPr>
      </w:pPr>
      <w:r>
        <w:rPr>
          <w:spacing w:val="-3"/>
        </w:rPr>
        <w:t>Nordic seeks approximately $360,000 in allegedly unpaid towing fees; Norton Lilly, the local agent, reports unpaid invoices to it and others, including the local shipyard, of about $143,000; approximately half the crew has reportedly filed a motion to asset claims for unpaid wages; Bureau Veritas, the classification society for the ship, will reportedly not approve the repairs until the ship has undergone sea trials; the head owner of the M/V OBOD has not posted any security to allow release of the vessel or her cargo and may not have the financial resources to do so</w:t>
      </w:r>
    </w:p>
    <w:p>
      <w:pPr>
        <w:pStyle w:val="Normal"/>
        <w:numPr>
          <w:ilvl w:val="0"/>
          <w:numId w:val="15"/>
        </w:numPr>
        <w:tabs>
          <w:tab w:val="clear" w:pos="720"/>
        </w:tabs>
        <w:ind w:hanging="360" w:start="360" w:end="0"/>
        <w:jc w:val="both"/>
        <w:rPr>
          <w:spacing w:val="-3"/>
        </w:rPr>
      </w:pPr>
      <w:r>
        <w:rPr>
          <w:spacing w:val="-3"/>
        </w:rPr>
        <w:t>Enron Metals has demanded that Nordic release Enron Metals’ cargo from arrest and that the charterers carry the cargo to Baltimore</w:t>
      </w:r>
    </w:p>
    <w:p>
      <w:pPr>
        <w:pStyle w:val="Normal"/>
        <w:numPr>
          <w:ilvl w:val="0"/>
          <w:numId w:val="15"/>
        </w:numPr>
        <w:tabs>
          <w:tab w:val="clear" w:pos="720"/>
        </w:tabs>
        <w:ind w:hanging="360" w:start="360" w:end="0"/>
        <w:jc w:val="both"/>
        <w:rPr>
          <w:spacing w:val="-3"/>
        </w:rPr>
      </w:pPr>
      <w:r>
        <w:rPr>
          <w:spacing w:val="-3"/>
        </w:rPr>
        <w:t>By order dated February 23, 2001, Enron Metals’ cargo was released</w:t>
      </w:r>
    </w:p>
    <w:p>
      <w:pPr>
        <w:pStyle w:val="Normal"/>
        <w:numPr>
          <w:ilvl w:val="0"/>
          <w:numId w:val="15"/>
        </w:numPr>
        <w:tabs>
          <w:tab w:val="clear" w:pos="720"/>
        </w:tabs>
        <w:ind w:hanging="360" w:start="360" w:end="0"/>
        <w:jc w:val="both"/>
        <w:rPr>
          <w:spacing w:val="-3"/>
        </w:rPr>
      </w:pPr>
      <w:r>
        <w:rPr>
          <w:b/>
          <w:bCs/>
          <w:spacing w:val="-3"/>
        </w:rPr>
        <w:t>Court ordered ship to be sold and is receiving bids through June 1, 2001; cargo remains on board</w:t>
      </w:r>
    </w:p>
    <w:p>
      <w:pPr>
        <w:pStyle w:val="Normal"/>
        <w:tabs>
          <w:tab w:val="clear" w:pos="720"/>
          <w:tab w:val="right" w:pos="9360" w:leader="none"/>
        </w:tabs>
        <w:jc w:val="both"/>
        <w:rPr>
          <w:spacing w:val="-3"/>
        </w:rPr>
      </w:pPr>
      <w:r>
        <w:rPr>
          <w:spacing w:val="-3"/>
        </w:rPr>
      </w:r>
    </w:p>
    <w:p>
      <w:pPr>
        <w:pStyle w:val="Heading7"/>
        <w:ind w:hanging="0" w:start="0"/>
        <w:rPr/>
      </w:pPr>
      <w:r>
        <w:rPr/>
        <w:t>In re M/V PACIFIC VIRGO</w:t>
        <w:tab/>
        <w:t>[NO UPDATE]</w:t>
      </w:r>
    </w:p>
    <w:p>
      <w:pPr>
        <w:pStyle w:val="Normal"/>
        <w:tabs>
          <w:tab w:val="clear" w:pos="720"/>
          <w:tab w:val="right" w:pos="9360" w:leader="none"/>
        </w:tabs>
        <w:jc w:val="both"/>
        <w:rPr>
          <w:spacing w:val="-3"/>
        </w:rPr>
      </w:pPr>
      <w:r>
        <w:rPr>
          <w:spacing w:val="-3"/>
        </w:rPr>
        <w:t>(not yet filed) (Davis) (David Best, Clyde &amp; Co., London; Neale Gregson, Watson, Farley, Singapore—local counsel)</w:t>
      </w:r>
    </w:p>
    <w:p>
      <w:pPr>
        <w:pStyle w:val="Normal"/>
        <w:numPr>
          <w:ilvl w:val="0"/>
          <w:numId w:val="15"/>
        </w:numPr>
        <w:tabs>
          <w:tab w:val="clear" w:pos="720"/>
        </w:tabs>
        <w:ind w:hanging="360" w:start="360" w:end="0"/>
        <w:jc w:val="both"/>
        <w:rPr>
          <w:spacing w:val="-3"/>
        </w:rPr>
      </w:pPr>
      <w:r>
        <w:rPr>
          <w:spacing w:val="-3"/>
        </w:rPr>
        <w:t>ECT Singapore purchased approximately 660,000 barrels of Elang Blend Crude Oil from Phillips for approximately $20,000,000</w:t>
      </w:r>
    </w:p>
    <w:p>
      <w:pPr>
        <w:pStyle w:val="Normal"/>
        <w:numPr>
          <w:ilvl w:val="0"/>
          <w:numId w:val="15"/>
        </w:numPr>
        <w:tabs>
          <w:tab w:val="clear" w:pos="720"/>
        </w:tabs>
        <w:ind w:hanging="360" w:start="360" w:end="0"/>
        <w:jc w:val="both"/>
        <w:rPr>
          <w:spacing w:val="-3"/>
        </w:rPr>
      </w:pPr>
      <w:r>
        <w:rPr>
          <w:spacing w:val="-3"/>
        </w:rPr>
        <w:t>ECT Singapore voyage-chartered the M/V PACIFIC VIRGO from Mitsubishi to load this product offshore Indonesia and carry it for discharge in Thailand and the Philippines; both discharges were for the account of FGH, the end user; the product was to be used as compressor fuel; the product was loaded June 20-21, 2000</w:t>
      </w:r>
    </w:p>
    <w:p>
      <w:pPr>
        <w:pStyle w:val="Normal"/>
        <w:numPr>
          <w:ilvl w:val="0"/>
          <w:numId w:val="15"/>
        </w:numPr>
        <w:tabs>
          <w:tab w:val="clear" w:pos="720"/>
        </w:tabs>
        <w:ind w:hanging="360" w:start="360" w:end="0"/>
        <w:jc w:val="both"/>
        <w:rPr>
          <w:spacing w:val="-3"/>
        </w:rPr>
      </w:pPr>
      <w:r>
        <w:rPr>
          <w:spacing w:val="-3"/>
        </w:rPr>
        <w:t>The product satisfied FGH’s contract specifications prior to loading, but was found off-spec after discharge on June 28-30, 2000, in Thailand and on July 4, 2000, when the ship arrived in the Philippines; FGH rejected the cargo</w:t>
      </w:r>
    </w:p>
    <w:p>
      <w:pPr>
        <w:pStyle w:val="Normal"/>
        <w:numPr>
          <w:ilvl w:val="0"/>
          <w:numId w:val="15"/>
        </w:numPr>
        <w:tabs>
          <w:tab w:val="clear" w:pos="720"/>
        </w:tabs>
        <w:ind w:hanging="360" w:start="360" w:end="0"/>
        <w:jc w:val="both"/>
        <w:rPr>
          <w:spacing w:val="-3"/>
        </w:rPr>
      </w:pPr>
      <w:r>
        <w:rPr>
          <w:spacing w:val="-3"/>
        </w:rPr>
        <w:t>ECT Singapore instructed the M/V PACIFIC VIRGO sail to Korea to discharge the remaining product to a Korean refinery that had agreed to purchase the off-spec cargo; another buyer was arranged for the off-spec cargo in Thailand as well</w:t>
      </w:r>
    </w:p>
    <w:p>
      <w:pPr>
        <w:pStyle w:val="Normal"/>
        <w:numPr>
          <w:ilvl w:val="0"/>
          <w:numId w:val="15"/>
        </w:numPr>
        <w:tabs>
          <w:tab w:val="clear" w:pos="720"/>
        </w:tabs>
        <w:ind w:hanging="360" w:start="360" w:end="0"/>
        <w:jc w:val="both"/>
        <w:rPr>
          <w:spacing w:val="-3"/>
        </w:rPr>
      </w:pPr>
      <w:r>
        <w:rPr>
          <w:spacing w:val="-3"/>
        </w:rPr>
        <w:t>Mitsubishi claims approximately $500,000 in unpaid freight for the voyage from the Philippines to Korea and approximately $250,000 in demurrage for vessel downtime incurred in the Philippines; ECT Singapore denies any liability for this freight and demurrage, claiming it was necessary only as a result of the off-spec nature of the cargo, caused by Mitsubishi; ECT Singapore additionally claims damages of approximately $2,525,000 as a result of the onboard contamination cargo; ECT Singapore has put its insurers on notice</w:t>
      </w:r>
    </w:p>
    <w:p>
      <w:pPr>
        <w:pStyle w:val="Normal"/>
        <w:numPr>
          <w:ilvl w:val="0"/>
          <w:numId w:val="15"/>
        </w:numPr>
        <w:tabs>
          <w:tab w:val="clear" w:pos="720"/>
        </w:tabs>
        <w:ind w:hanging="360" w:start="360" w:end="0"/>
        <w:jc w:val="both"/>
        <w:rPr>
          <w:spacing w:val="-3"/>
        </w:rPr>
      </w:pPr>
      <w:r>
        <w:rPr>
          <w:spacing w:val="-3"/>
        </w:rPr>
        <w:t>In October 2000, Mitsubishi filed an arbitration demand; Mitsubishi and ECT Singapore have agreed upon an arbitrator</w:t>
      </w:r>
    </w:p>
    <w:p>
      <w:pPr>
        <w:pStyle w:val="Normal"/>
        <w:numPr>
          <w:ilvl w:val="0"/>
          <w:numId w:val="15"/>
        </w:numPr>
        <w:tabs>
          <w:tab w:val="clear" w:pos="720"/>
        </w:tabs>
        <w:ind w:hanging="360" w:start="360" w:end="0"/>
        <w:jc w:val="both"/>
        <w:rPr>
          <w:spacing w:val="-3"/>
        </w:rPr>
      </w:pPr>
      <w:r>
        <w:rPr>
          <w:spacing w:val="-3"/>
        </w:rPr>
        <w:t>To avoid an interim arbitration award of freight, interest and attorneys’ fees, ECT Singapore agreed to pay Mitsubishi approximately $520,000; this is without prejudice to ECT Singapore’s ability to recover this from Mitsubishi later in the same arbitration after determination whether the cargo became off-spec after being loaded aboard the ship; ECT Singapore would also be able to recover its damages of approximately $2,525,000 if it made this case</w:t>
      </w:r>
    </w:p>
    <w:p>
      <w:pPr>
        <w:pStyle w:val="Normal"/>
        <w:numPr>
          <w:ilvl w:val="0"/>
          <w:numId w:val="15"/>
        </w:numPr>
        <w:tabs>
          <w:tab w:val="clear" w:pos="720"/>
        </w:tabs>
        <w:ind w:hanging="360" w:start="360" w:end="0"/>
        <w:jc w:val="both"/>
        <w:rPr>
          <w:spacing w:val="-3"/>
        </w:rPr>
      </w:pPr>
      <w:r>
        <w:rPr>
          <w:spacing w:val="-3"/>
        </w:rPr>
        <w:t>On or about January 15, 2001, a joint survey of samples of the product pre- and post- loading began in the U.K.; initial testing of pre-loading samples showed them to be off-spec for filterable dirt</w:t>
      </w:r>
    </w:p>
    <w:p>
      <w:pPr>
        <w:pStyle w:val="Normal"/>
        <w:jc w:val="both"/>
        <w:rPr>
          <w:spacing w:val="-3"/>
        </w:rPr>
      </w:pPr>
      <w:r>
        <w:rPr>
          <w:spacing w:val="-3"/>
        </w:rPr>
      </w:r>
    </w:p>
    <w:p>
      <w:pPr>
        <w:pStyle w:val="Heading7"/>
        <w:ind w:hanging="0" w:start="0"/>
        <w:rPr/>
      </w:pPr>
      <w:r>
        <w:rPr/>
        <w:t>McKenna Interests, Inc. v. Enron Mexico Holdings II, Ltd.</w:t>
        <w:tab/>
        <w:t>[NO UPDATE]</w:t>
      </w:r>
    </w:p>
    <w:p>
      <w:pPr>
        <w:pStyle w:val="Normal"/>
        <w:tabs>
          <w:tab w:val="clear" w:pos="720"/>
          <w:tab w:val="right" w:pos="9360" w:leader="none"/>
        </w:tabs>
        <w:jc w:val="both"/>
        <w:rPr>
          <w:bCs/>
          <w:spacing w:val="-3"/>
        </w:rPr>
      </w:pPr>
      <w:r>
        <w:rPr>
          <w:bCs/>
          <w:spacing w:val="-3"/>
        </w:rPr>
        <w:t>(Houston, Texas—self administered 3-person arbitration) (White) (Ileana Blaco, Bracewell &amp; Patterson—local counsel)</w:t>
      </w:r>
    </w:p>
    <w:p>
      <w:pPr>
        <w:pStyle w:val="Normal"/>
        <w:numPr>
          <w:ilvl w:val="0"/>
          <w:numId w:val="15"/>
        </w:numPr>
        <w:tabs>
          <w:tab w:val="clear" w:pos="720"/>
        </w:tabs>
        <w:ind w:hanging="360" w:start="360" w:end="0"/>
        <w:jc w:val="both"/>
        <w:rPr>
          <w:bCs/>
          <w:spacing w:val="-3"/>
        </w:rPr>
      </w:pPr>
      <w:r>
        <w:rPr>
          <w:bCs/>
          <w:spacing w:val="-3"/>
        </w:rPr>
        <w:t>Alleged breach of a “Project Development Cooperation Agreement” related to proposed power plant in Saltillo/Ramos Arizpe Region of Mexico, which was not built and no power purchase agreements were signed; Enron Mexico terminated Cooperation Agreement in August 1998</w:t>
      </w:r>
    </w:p>
    <w:p>
      <w:pPr>
        <w:pStyle w:val="Normal"/>
        <w:numPr>
          <w:ilvl w:val="0"/>
          <w:numId w:val="15"/>
        </w:numPr>
        <w:tabs>
          <w:tab w:val="clear" w:pos="720"/>
        </w:tabs>
        <w:ind w:hanging="360" w:start="360" w:end="0"/>
        <w:jc w:val="both"/>
        <w:rPr>
          <w:bCs/>
          <w:spacing w:val="-3"/>
        </w:rPr>
      </w:pPr>
      <w:r>
        <w:rPr>
          <w:bCs/>
          <w:spacing w:val="-3"/>
        </w:rPr>
        <w:t>Enron Mexico currently developing power plant in Monterrey, Mexico; McKenna claims right to payment under Cooperation Agreement based on the Monterrey project</w:t>
      </w:r>
    </w:p>
    <w:p>
      <w:pPr>
        <w:pStyle w:val="Normal"/>
        <w:numPr>
          <w:ilvl w:val="0"/>
          <w:numId w:val="15"/>
        </w:numPr>
        <w:tabs>
          <w:tab w:val="clear" w:pos="720"/>
        </w:tabs>
        <w:ind w:hanging="360" w:start="360" w:end="0"/>
        <w:jc w:val="both"/>
        <w:rPr>
          <w:bCs/>
          <w:spacing w:val="-3"/>
        </w:rPr>
      </w:pPr>
      <w:r>
        <w:rPr>
          <w:bCs/>
          <w:spacing w:val="-3"/>
        </w:rPr>
        <w:t>Damages are unspecified</w:t>
      </w:r>
    </w:p>
    <w:p>
      <w:pPr>
        <w:pStyle w:val="Normal"/>
        <w:numPr>
          <w:ilvl w:val="0"/>
          <w:numId w:val="15"/>
        </w:numPr>
        <w:tabs>
          <w:tab w:val="clear" w:pos="720"/>
        </w:tabs>
        <w:ind w:hanging="360" w:start="360" w:end="0"/>
        <w:jc w:val="both"/>
        <w:rPr>
          <w:bCs/>
          <w:spacing w:val="-3"/>
        </w:rPr>
      </w:pPr>
      <w:r>
        <w:rPr>
          <w:bCs/>
          <w:spacing w:val="-3"/>
        </w:rPr>
        <w:t>Enron Mexico nominated Tom McDade as its party arbitrator; McKenna nominated Joe Reynolds; Fines E. Cowan selected as third (neutral) arbitrator</w:t>
      </w:r>
    </w:p>
    <w:p>
      <w:pPr>
        <w:pStyle w:val="Normal"/>
        <w:numPr>
          <w:ilvl w:val="0"/>
          <w:numId w:val="15"/>
        </w:numPr>
        <w:tabs>
          <w:tab w:val="clear" w:pos="720"/>
        </w:tabs>
        <w:ind w:hanging="360" w:start="360" w:end="0"/>
        <w:jc w:val="both"/>
        <w:rPr>
          <w:bCs/>
          <w:spacing w:val="-3"/>
        </w:rPr>
      </w:pPr>
      <w:r>
        <w:rPr>
          <w:bCs/>
          <w:spacing w:val="-3"/>
        </w:rPr>
        <w:t>Discovery ongoing</w:t>
      </w:r>
    </w:p>
    <w:p>
      <w:pPr>
        <w:pStyle w:val="Normal"/>
        <w:jc w:val="both"/>
        <w:rPr>
          <w:bCs/>
          <w:spacing w:val="-3"/>
        </w:rPr>
      </w:pPr>
      <w:r>
        <w:rPr>
          <w:bCs/>
          <w:spacing w:val="-3"/>
        </w:rPr>
      </w:r>
      <w:r>
        <w:br w:type="page"/>
      </w:r>
    </w:p>
    <w:p>
      <w:pPr>
        <w:pStyle w:val="Heading7"/>
        <w:widowControl w:val="false"/>
        <w:suppressAutoHyphens w:val="true"/>
        <w:ind w:hanging="0" w:start="0"/>
        <w:rPr>
          <w:spacing w:val="0"/>
        </w:rPr>
      </w:pPr>
      <w:r>
        <w:rPr>
          <w:spacing w:val="0"/>
        </w:rPr>
        <w:t>In re Transredes Pipeline Rupture (July 10, 2000)</w:t>
        <w:tab/>
        <w:t>[NO UPDATE]</w:t>
      </w:r>
    </w:p>
    <w:p>
      <w:pPr>
        <w:pStyle w:val="Header"/>
        <w:tabs>
          <w:tab w:val="clear" w:pos="4320"/>
          <w:tab w:val="clear" w:pos="8640"/>
        </w:tabs>
        <w:rPr>
          <w:spacing w:val="-3"/>
        </w:rPr>
      </w:pPr>
      <w:r>
        <w:rPr>
          <w:spacing w:val="-3"/>
        </w:rPr>
        <w:t>(Pirque River, Bolivia) (Kisluk)</w:t>
      </w:r>
    </w:p>
    <w:p>
      <w:pPr>
        <w:pStyle w:val="Header"/>
        <w:numPr>
          <w:ilvl w:val="0"/>
          <w:numId w:val="11"/>
        </w:numPr>
        <w:tabs>
          <w:tab w:val="clear" w:pos="4320"/>
          <w:tab w:val="clear" w:pos="8640"/>
          <w:tab w:val="left" w:pos="0" w:leader="none"/>
        </w:tabs>
        <w:ind w:hanging="360" w:start="360" w:end="0"/>
        <w:rPr>
          <w:spacing w:val="-3"/>
        </w:rPr>
      </w:pPr>
      <w:r>
        <w:rPr>
          <w:spacing w:val="-3"/>
        </w:rPr>
        <w:t>Investigation of anticipated claims involving July 10, 2000 pipeline rupture caused by contractor’s backhoe striking by-pass valve</w:t>
      </w:r>
    </w:p>
    <w:p>
      <w:pPr>
        <w:pStyle w:val="Header"/>
        <w:numPr>
          <w:ilvl w:val="0"/>
          <w:numId w:val="11"/>
        </w:numPr>
        <w:tabs>
          <w:tab w:val="clear" w:pos="4320"/>
          <w:tab w:val="clear" w:pos="8640"/>
          <w:tab w:val="left" w:pos="0" w:leader="none"/>
        </w:tabs>
        <w:ind w:hanging="360" w:start="360" w:end="0"/>
        <w:rPr>
          <w:spacing w:val="-3"/>
        </w:rPr>
      </w:pPr>
      <w:r>
        <w:rPr>
          <w:spacing w:val="-3"/>
        </w:rPr>
        <w:t>Bolivian authorities notified, including SIRESE, Ministry of Energy, Ministry of Environment, the Vice Ministry of Hydrocarbons, and Perfecto of Cochabamba</w:t>
      </w:r>
    </w:p>
    <w:p>
      <w:pPr>
        <w:pStyle w:val="Header"/>
        <w:numPr>
          <w:ilvl w:val="0"/>
          <w:numId w:val="11"/>
        </w:numPr>
        <w:tabs>
          <w:tab w:val="clear" w:pos="4320"/>
          <w:tab w:val="clear" w:pos="8640"/>
          <w:tab w:val="left" w:pos="0" w:leader="none"/>
        </w:tabs>
        <w:ind w:hanging="360" w:start="360" w:end="0"/>
        <w:rPr>
          <w:spacing w:val="-3"/>
        </w:rPr>
      </w:pPr>
      <w:r>
        <w:rPr>
          <w:spacing w:val="-3"/>
        </w:rPr>
        <w:t>Transredes’ insurance carriers have been notified and adjusters engaged</w:t>
      </w:r>
    </w:p>
    <w:p>
      <w:pPr>
        <w:pStyle w:val="Header"/>
        <w:numPr>
          <w:ilvl w:val="0"/>
          <w:numId w:val="11"/>
        </w:numPr>
        <w:tabs>
          <w:tab w:val="clear" w:pos="4320"/>
          <w:tab w:val="clear" w:pos="8640"/>
          <w:tab w:val="left" w:pos="0" w:leader="none"/>
        </w:tabs>
        <w:ind w:hanging="360" w:start="360" w:end="0"/>
        <w:rPr>
          <w:spacing w:val="-3"/>
        </w:rPr>
      </w:pPr>
      <w:r>
        <w:rPr>
          <w:spacing w:val="-3"/>
        </w:rPr>
        <w:t>Remediation and mitigation efforts completed; carrier’s negotiations with contractor as to indemnification of Transredes ongoing</w:t>
      </w:r>
    </w:p>
    <w:p>
      <w:pPr>
        <w:pStyle w:val="Header"/>
        <w:tabs>
          <w:tab w:val="clear" w:pos="4320"/>
          <w:tab w:val="clear" w:pos="8640"/>
        </w:tabs>
        <w:rPr>
          <w:b/>
          <w:bCs/>
          <w:spacing w:val="-3"/>
        </w:rPr>
      </w:pPr>
      <w:r>
        <w:rPr>
          <w:b/>
          <w:bCs/>
          <w:spacing w:val="-3"/>
        </w:rPr>
      </w:r>
    </w:p>
    <w:p>
      <w:pPr>
        <w:pStyle w:val="Heading7"/>
        <w:widowControl w:val="false"/>
        <w:suppressAutoHyphens w:val="true"/>
        <w:ind w:hanging="0" w:start="0"/>
        <w:rPr>
          <w:spacing w:val="0"/>
        </w:rPr>
      </w:pPr>
      <w:r>
        <w:rPr>
          <w:spacing w:val="0"/>
        </w:rPr>
        <w:t>In re Transredes Pipeline Rupture (July 13, 2000)</w:t>
        <w:tab/>
        <w:t>[NO UPDATE]</w:t>
      </w:r>
    </w:p>
    <w:p>
      <w:pPr>
        <w:pStyle w:val="Header"/>
        <w:tabs>
          <w:tab w:val="clear" w:pos="4320"/>
          <w:tab w:val="clear" w:pos="8640"/>
        </w:tabs>
        <w:rPr>
          <w:spacing w:val="-3"/>
        </w:rPr>
      </w:pPr>
      <w:r>
        <w:rPr>
          <w:spacing w:val="-3"/>
        </w:rPr>
        <w:t>(Parapeti River, Bolivia) (Kisluk)</w:t>
      </w:r>
    </w:p>
    <w:p>
      <w:pPr>
        <w:pStyle w:val="Header"/>
        <w:numPr>
          <w:ilvl w:val="0"/>
          <w:numId w:val="11"/>
        </w:numPr>
        <w:tabs>
          <w:tab w:val="clear" w:pos="4320"/>
          <w:tab w:val="clear" w:pos="8640"/>
          <w:tab w:val="left" w:pos="0" w:leader="none"/>
        </w:tabs>
        <w:ind w:hanging="360" w:start="360" w:end="0"/>
        <w:rPr>
          <w:spacing w:val="-3"/>
        </w:rPr>
      </w:pPr>
      <w:r>
        <w:rPr>
          <w:spacing w:val="-3"/>
        </w:rPr>
        <w:t>Investigation of anticipated claims involving July 13, 2000 pipeline rupture caused by contractor cutting down a tree which fell and hit pipeline</w:t>
      </w:r>
    </w:p>
    <w:p>
      <w:pPr>
        <w:pStyle w:val="Header"/>
        <w:numPr>
          <w:ilvl w:val="0"/>
          <w:numId w:val="11"/>
        </w:numPr>
        <w:tabs>
          <w:tab w:val="clear" w:pos="4320"/>
          <w:tab w:val="clear" w:pos="8640"/>
          <w:tab w:val="left" w:pos="0" w:leader="none"/>
        </w:tabs>
        <w:ind w:hanging="360" w:start="360" w:end="0"/>
        <w:rPr>
          <w:spacing w:val="-3"/>
        </w:rPr>
      </w:pPr>
      <w:r>
        <w:rPr>
          <w:spacing w:val="-3"/>
        </w:rPr>
        <w:t>Bolivian authorities notified, including SIRESE, Ministry of Energy, Ministry of Environment, Sustainable Development and Planning Ministry, local Prefectura and local Mayor</w:t>
      </w:r>
    </w:p>
    <w:p>
      <w:pPr>
        <w:pStyle w:val="Header"/>
        <w:numPr>
          <w:ilvl w:val="0"/>
          <w:numId w:val="11"/>
        </w:numPr>
        <w:tabs>
          <w:tab w:val="clear" w:pos="4320"/>
          <w:tab w:val="clear" w:pos="8640"/>
          <w:tab w:val="left" w:pos="0" w:leader="none"/>
        </w:tabs>
        <w:ind w:hanging="360" w:start="360" w:end="0"/>
        <w:rPr>
          <w:spacing w:val="-3"/>
        </w:rPr>
      </w:pPr>
      <w:r>
        <w:rPr>
          <w:spacing w:val="-3"/>
        </w:rPr>
        <w:t>Transredes’ insurance carriers have been notified and adjusters engaged</w:t>
      </w:r>
    </w:p>
    <w:p>
      <w:pPr>
        <w:pStyle w:val="Header"/>
        <w:numPr>
          <w:ilvl w:val="0"/>
          <w:numId w:val="11"/>
        </w:numPr>
        <w:tabs>
          <w:tab w:val="clear" w:pos="4320"/>
          <w:tab w:val="clear" w:pos="8640"/>
          <w:tab w:val="left" w:pos="0" w:leader="none"/>
        </w:tabs>
        <w:ind w:hanging="360" w:start="360" w:end="0"/>
        <w:rPr>
          <w:spacing w:val="-3"/>
        </w:rPr>
      </w:pPr>
      <w:r>
        <w:rPr>
          <w:spacing w:val="-3"/>
        </w:rPr>
        <w:t>Remediation and mitigation efforts completed; carrier’s negotiations with contractor as to indemnification of Transredes ongoing</w:t>
      </w:r>
    </w:p>
    <w:p>
      <w:pPr>
        <w:pStyle w:val="Normal"/>
        <w:tabs>
          <w:tab w:val="clear" w:pos="720"/>
          <w:tab w:val="right" w:pos="9360" w:leader="none"/>
        </w:tabs>
        <w:jc w:val="both"/>
        <w:rPr>
          <w:spacing w:val="-3"/>
        </w:rPr>
      </w:pPr>
      <w:r>
        <w:rPr>
          <w:spacing w:val="-3"/>
        </w:rPr>
      </w:r>
    </w:p>
    <w:p>
      <w:pPr>
        <w:pStyle w:val="Heading8"/>
        <w:widowControl w:val="false"/>
        <w:suppressAutoHyphens w:val="true"/>
        <w:ind w:hanging="0" w:start="0"/>
        <w:rPr>
          <w:b/>
          <w:bCs w:val="false"/>
          <w:shadow w:val="false"/>
          <w:spacing w:val="0"/>
        </w:rPr>
      </w:pPr>
      <w:r>
        <w:rPr>
          <w:b/>
          <w:bCs w:val="false"/>
          <w:shadow w:val="false"/>
          <w:spacing w:val="0"/>
        </w:rPr>
        <w:t>In re Transredes Pipeline Rupture (January 31, 2000)</w:t>
        <w:tab/>
        <w:t>[UPDATED]</w:t>
      </w:r>
    </w:p>
    <w:p>
      <w:pPr>
        <w:pStyle w:val="BodyText"/>
        <w:widowControl w:val="false"/>
        <w:suppressAutoHyphens w:val="true"/>
        <w:rPr>
          <w:spacing w:val="0"/>
        </w:rPr>
      </w:pPr>
      <w:r>
        <w:rPr>
          <w:spacing w:val="0"/>
        </w:rPr>
        <w:t>(Desaguadero River, Bolivia) (Kisluk) (David Brown, Vinson &amp; Elkins and Mark Glasser of King &amp; Spalding—outside counsel)</w:t>
      </w:r>
    </w:p>
    <w:p>
      <w:pPr>
        <w:pStyle w:val="Header"/>
        <w:numPr>
          <w:ilvl w:val="0"/>
          <w:numId w:val="10"/>
        </w:numPr>
        <w:tabs>
          <w:tab w:val="clear" w:pos="4320"/>
          <w:tab w:val="clear" w:pos="8640"/>
        </w:tabs>
        <w:jc w:val="both"/>
        <w:rPr/>
      </w:pPr>
      <w:r>
        <w:rPr/>
        <w:t>Investigation of anticipated claims involving January 31, 2000 pipeline rupture and oil spill at the Desaguadero River crossing in a remote area in the Altiplano approximately 100km southwest of LaPaz</w:t>
      </w:r>
    </w:p>
    <w:p>
      <w:pPr>
        <w:pStyle w:val="Header"/>
        <w:numPr>
          <w:ilvl w:val="0"/>
          <w:numId w:val="10"/>
        </w:numPr>
        <w:tabs>
          <w:tab w:val="clear" w:pos="4320"/>
          <w:tab w:val="clear" w:pos="8640"/>
        </w:tabs>
        <w:jc w:val="both"/>
        <w:rPr/>
      </w:pPr>
      <w:r>
        <w:rPr/>
        <w:t>Bolivian authorities notified, including Ministry of Energy, Superintendent of Hydrocarbons, Vice Ministry of Hydrocarbons, Ministry of Economic Development, Vice Ministry of Environment and Ministry of Sustainable Development</w:t>
      </w:r>
    </w:p>
    <w:p>
      <w:pPr>
        <w:pStyle w:val="Header"/>
        <w:numPr>
          <w:ilvl w:val="0"/>
          <w:numId w:val="10"/>
        </w:numPr>
        <w:tabs>
          <w:tab w:val="clear" w:pos="4320"/>
          <w:tab w:val="clear" w:pos="8640"/>
        </w:tabs>
        <w:jc w:val="both"/>
        <w:rPr/>
      </w:pPr>
      <w:r>
        <w:rPr/>
        <w:t>LIABILITY COVERAGE DISPUTE:</w:t>
      </w:r>
      <w:r>
        <w:rPr>
          <w:b/>
          <w:bCs/>
        </w:rPr>
        <w:t xml:space="preserve">  </w:t>
      </w:r>
      <w:r>
        <w:rPr/>
        <w:t>$100 million of insurance coverage at issue; carriers notified and adjusters engaged; reinsurers issued reservation of rights letters and advised that serious coverage issues exist; on March 14, 2000, CNA, the reinsurer, initiated legal action in English courts against LaBoliviana Ciacruz, the primary carrier, seeking to void the reinsurance contracts; on February 26, 2001, ACE, La Boliviana and Transredes entered into a letter agreement agreeing to extend the time in which arbitration must be instituted; Transredes, La Boliviana, and CNA executed Tripartite Agreement, wherein CNA agreed to amend its claim to include the rejection of coverage under the Reinsurance Policies, La Boliviana agreed to join Transredes in the proceedings, and Transredes agreed not to contest jurisdiction of the English Court; on March 26, 2001, CNA amended their petition accordingly</w:t>
      </w:r>
    </w:p>
    <w:p>
      <w:pPr>
        <w:pStyle w:val="Header"/>
        <w:numPr>
          <w:ilvl w:val="0"/>
          <w:numId w:val="10"/>
        </w:numPr>
        <w:tabs>
          <w:tab w:val="clear" w:pos="4320"/>
          <w:tab w:val="clear" w:pos="8640"/>
        </w:tabs>
        <w:jc w:val="both"/>
        <w:rPr/>
      </w:pPr>
      <w:r>
        <w:rPr/>
        <w:t xml:space="preserve">CLEAN-UP CONTRACTOR DISPUTE:  Garner Environmental Services, Inc. was retained by Transredes to clean-up the spill; Transredes paid Garner approximately $14.3 million, but is disputing the remaining charges of approximately $6.7 million; by letter dated June 20, 2000, Garner made a demand on Enron Corp. for the outstanding balance; by letter dated July 18, 2000, Transredes issued an exception letter and requested audit opportunity; Garner denied audit; on September 7, 2000, a meeting with Garner representatives took place and an agreement, in principle, to resolve the billing dispute in an alternative forum reached; the terms of the agreement were being negotiated, when Garner filed suit against Enron Pipeline Company and Enron Operations Services Corp. for over $7,350,000, without naming Transredes; Lee Kaplan and Michael Herman of Smyser, Kaplan &amp; Veselka, L.L.P. retained to represent the Enron defendants; Transredes’ board approved indemnity of the Enron defendants; Enron defendants filed responsive pleadings on November 27, 2000; on April 2, 2001, Transredes executed an agreement with Garner to arbitrate outstanding issues; the arbitration is set for October 1, 2001, with Joe Kirkham acting as the sole arbitrator; notice of non-suit of the Garner action against the Enron defendants filed April 18, 2001; Garner has reserved its rights to refile against the Enron entities if any favorable award is not satisfied by Transredes; discovery ongoing in the arbitration; </w:t>
      </w:r>
      <w:r>
        <w:rPr>
          <w:b/>
          <w:bCs/>
        </w:rPr>
        <w:t>hearing June 5, 2001, for scheduling and discovery issues</w:t>
      </w:r>
    </w:p>
    <w:p>
      <w:pPr>
        <w:pStyle w:val="Header"/>
        <w:numPr>
          <w:ilvl w:val="0"/>
          <w:numId w:val="10"/>
        </w:numPr>
        <w:tabs>
          <w:tab w:val="clear" w:pos="4320"/>
          <w:tab w:val="clear" w:pos="8640"/>
        </w:tabs>
        <w:jc w:val="both"/>
        <w:rPr/>
      </w:pPr>
      <w:r>
        <w:rPr/>
        <w:t>PROPERTY CARRIER DISPUTE:  By letter dated November 28, 2000, ACE Europe, the lead reinsurer, officially denied Transredes’ property damage claim; a meeting with ACE took place May 15, 2001, wherein a settlement of Transredes’ property damage claim was reached; ACE agreed to $700,000 of a total claim of $1.2 million, resulting in $200,000 to Transredes after a $500,000 deductible; 100% of the product loss was covered, as well as $80,000 of the replacement cost of the pipe</w:t>
      </w:r>
    </w:p>
    <w:p>
      <w:pPr>
        <w:pStyle w:val="Normal"/>
        <w:tabs>
          <w:tab w:val="clear" w:pos="720"/>
          <w:tab w:val="left" w:pos="-1440" w:leader="none"/>
          <w:tab w:val="left" w:pos="-720" w:leader="none"/>
          <w:tab w:val="right" w:pos="9360" w:leader="none"/>
        </w:tabs>
        <w:suppressAutoHyphens w:val="true"/>
        <w:jc w:val="both"/>
        <w:rPr>
          <w:b/>
          <w:i/>
          <w:i/>
          <w:spacing w:val="-3"/>
        </w:rPr>
      </w:pPr>
      <w:r>
        <w:rPr>
          <w:b/>
          <w:i/>
          <w:spacing w:val="-3"/>
        </w:rPr>
      </w:r>
    </w:p>
    <w:p>
      <w:pPr>
        <w:pStyle w:val="Heading6"/>
        <w:tabs>
          <w:tab w:val="clear" w:pos="2160"/>
          <w:tab w:val="clear" w:pos="6480"/>
          <w:tab w:val="left" w:pos="-1440" w:leader="none"/>
          <w:tab w:val="left" w:pos="-720" w:leader="none"/>
          <w:tab w:val="right" w:pos="9360" w:leader="none"/>
        </w:tabs>
        <w:suppressAutoHyphens w:val="true"/>
        <w:ind w:hanging="0" w:start="0"/>
        <w:rPr/>
      </w:pPr>
      <w:r>
        <w:rPr/>
        <w:t>ENRON TRANSPORTATION</w:t>
      </w:r>
    </w:p>
    <w:p>
      <w:pPr>
        <w:pStyle w:val="Normal"/>
        <w:widowControl w:val="false"/>
        <w:tabs>
          <w:tab w:val="clear" w:pos="720"/>
          <w:tab w:val="right" w:pos="9360" w:leader="none"/>
        </w:tabs>
        <w:suppressAutoHyphens w:val="true"/>
        <w:rPr>
          <w:bCs/>
          <w:i/>
          <w:i/>
          <w:spacing w:val="-3"/>
        </w:rPr>
      </w:pPr>
      <w:r>
        <w:rPr>
          <w:bCs/>
          <w:i/>
          <w:spacing w:val="-3"/>
        </w:rPr>
      </w:r>
    </w:p>
    <w:p>
      <w:pPr>
        <w:pStyle w:val="Normal"/>
        <w:widowControl w:val="false"/>
        <w:tabs>
          <w:tab w:val="clear" w:pos="720"/>
          <w:tab w:val="right" w:pos="9360" w:leader="none"/>
        </w:tabs>
        <w:suppressAutoHyphens w:val="true"/>
        <w:jc w:val="both"/>
        <w:rPr/>
      </w:pPr>
      <w:r>
        <w:rPr>
          <w:b/>
        </w:rPr>
        <w:tab/>
      </w:r>
      <w:r>
        <w:rPr>
          <w:b/>
          <w:i/>
        </w:rPr>
        <w:t>Class of Gas Producers and Royalty Owners v. Gas Pipelines, et al. [“Quinque”] [NO UPDATE]</w:t>
      </w:r>
    </w:p>
    <w:p>
      <w:pPr>
        <w:pStyle w:val="Normal"/>
        <w:widowControl w:val="false"/>
        <w:tabs>
          <w:tab w:val="clear" w:pos="720"/>
          <w:tab w:val="right" w:pos="9360" w:leader="none"/>
        </w:tabs>
        <w:suppressAutoHyphens w:val="true"/>
        <w:jc w:val="both"/>
        <w:rPr>
          <w:b/>
          <w:i/>
          <w:i/>
        </w:rPr>
      </w:pPr>
      <w:r>
        <w:rPr>
          <w:b/>
          <w:i/>
        </w:rPr>
      </w:r>
    </w:p>
    <w:p>
      <w:pPr>
        <w:pStyle w:val="Normal"/>
        <w:widowControl w:val="false"/>
        <w:tabs>
          <w:tab w:val="clear" w:pos="720"/>
          <w:tab w:val="right" w:pos="9360" w:leader="none"/>
        </w:tabs>
        <w:suppressAutoHyphens w:val="true"/>
        <w:jc w:val="both"/>
        <w:rPr/>
      </w:pPr>
      <w:r>
        <w:rPr/>
        <w:t>(Stevens County, Kansas state court) (Cheek/Davis) (Gibbs &amp; Bruns, Vinson &amp; Elkins—associate counsel; Doug Crotty—local counsel)</w:t>
      </w:r>
    </w:p>
    <w:p>
      <w:pPr>
        <w:pStyle w:val="Normal"/>
        <w:widowControl w:val="false"/>
        <w:numPr>
          <w:ilvl w:val="0"/>
          <w:numId w:val="8"/>
        </w:numPr>
        <w:tabs>
          <w:tab w:val="clear" w:pos="720"/>
          <w:tab w:val="right" w:pos="9360" w:leader="none"/>
        </w:tabs>
        <w:suppressAutoHyphens w:val="true"/>
        <w:jc w:val="both"/>
        <w:rPr/>
      </w:pPr>
      <w:r>
        <w:rPr/>
        <w:t>Class action on behalf of all domestic gas producers and royalty owners alleging that defendants conspired to mismeasure volume and heating value of gas from mineral properties nationwide, except federal and Native American lands</w:t>
      </w:r>
    </w:p>
    <w:p>
      <w:pPr>
        <w:pStyle w:val="Normal"/>
        <w:widowControl w:val="false"/>
        <w:numPr>
          <w:ilvl w:val="0"/>
          <w:numId w:val="8"/>
        </w:numPr>
        <w:tabs>
          <w:tab w:val="clear" w:pos="720"/>
          <w:tab w:val="right" w:pos="9360" w:leader="none"/>
        </w:tabs>
        <w:suppressAutoHyphens w:val="true"/>
        <w:jc w:val="both"/>
        <w:rPr/>
      </w:pPr>
      <w:r>
        <w:rPr/>
        <w:t xml:space="preserve">Enron Corp., Enron Oil and Gas Marketing, Inc., Northern Natural Gas Company, Florida Gas Transmission Company, Transwestern Pipeline Company, Black Marlin Pipeline Company, Houston Pipe Line Company, Northern Border Pipeline Company, Louisiana Resources Company, Enron Gas Marketing, Inc., Citrus Corp. and Citrus Interstate Pipeline Company are among the defendants which appear to be the same defendants named in </w:t>
      </w:r>
      <w:r>
        <w:rPr>
          <w:i/>
        </w:rPr>
        <w:t>Grynberg II</w:t>
      </w:r>
    </w:p>
    <w:p>
      <w:pPr>
        <w:pStyle w:val="Normal"/>
        <w:widowControl w:val="false"/>
        <w:numPr>
          <w:ilvl w:val="0"/>
          <w:numId w:val="8"/>
        </w:numPr>
        <w:tabs>
          <w:tab w:val="clear" w:pos="720"/>
          <w:tab w:val="right" w:pos="9360" w:leader="none"/>
        </w:tabs>
        <w:suppressAutoHyphens w:val="true"/>
        <w:jc w:val="both"/>
        <w:rPr/>
      </w:pPr>
      <w:r>
        <w:rPr/>
        <w:t>Class representative seeks damages, unspecified in amount, including production payments, royalty payments and severance taxes allegedly understated by the defendants’ alleged mismeasurement practices, plus attorneys’ fees and costs; on September 23, 1999, plaintiffs filed amended petition</w:t>
      </w:r>
    </w:p>
    <w:p>
      <w:pPr>
        <w:pStyle w:val="Normal"/>
        <w:widowControl w:val="false"/>
        <w:numPr>
          <w:ilvl w:val="0"/>
          <w:numId w:val="8"/>
        </w:numPr>
        <w:tabs>
          <w:tab w:val="clear" w:pos="720"/>
          <w:tab w:val="right" w:pos="9360" w:leader="none"/>
        </w:tabs>
        <w:suppressAutoHyphens w:val="true"/>
        <w:jc w:val="both"/>
        <w:rPr/>
      </w:pPr>
      <w:r>
        <w:rPr/>
        <w:t xml:space="preserve">On April 10, 2000, MDL Panel found the case as a “tag along case” and ordered consolidation with the </w:t>
      </w:r>
      <w:r>
        <w:rPr>
          <w:i/>
          <w:iCs/>
        </w:rPr>
        <w:t>Grynberg</w:t>
      </w:r>
      <w:r>
        <w:rPr/>
        <w:t xml:space="preserve"> cases before Judge Downes in Wyoming; by order dated March 2, 2001, court remanded </w:t>
      </w:r>
      <w:r>
        <w:rPr>
          <w:i/>
          <w:iCs/>
        </w:rPr>
        <w:t>Quinque</w:t>
      </w:r>
      <w:r>
        <w:rPr/>
        <w:t xml:space="preserve"> to Kansas state court</w:t>
      </w:r>
    </w:p>
    <w:p>
      <w:pPr>
        <w:pStyle w:val="Normal"/>
        <w:widowControl w:val="false"/>
        <w:numPr>
          <w:ilvl w:val="0"/>
          <w:numId w:val="8"/>
        </w:numPr>
        <w:tabs>
          <w:tab w:val="clear" w:pos="720"/>
          <w:tab w:val="right" w:pos="9360" w:leader="none"/>
        </w:tabs>
        <w:suppressAutoHyphens w:val="true"/>
        <w:jc w:val="both"/>
        <w:rPr/>
      </w:pPr>
      <w:r>
        <w:rPr/>
        <w:t>Case Management Order issued May 10, 2001, which stayed all discovery except for class certification and personal jurisdiction issues; motions to dismiss and briefs are due July 23, 2001; briefs and motions to dismiss for lack of personal jurisdiction are due October 12, 2001; Discovery Planning Conference set for February 25, 2002</w:t>
      </w:r>
    </w:p>
    <w:p>
      <w:pPr>
        <w:pStyle w:val="Normal"/>
        <w:widowControl w:val="false"/>
        <w:numPr>
          <w:ilvl w:val="0"/>
          <w:numId w:val="8"/>
        </w:numPr>
        <w:tabs>
          <w:tab w:val="clear" w:pos="720"/>
          <w:tab w:val="right" w:pos="9360" w:leader="none"/>
        </w:tabs>
        <w:suppressAutoHyphens w:val="true"/>
        <w:jc w:val="both"/>
        <w:rPr>
          <w:b/>
          <w:bCs/>
        </w:rPr>
      </w:pPr>
      <w:r>
        <w:rPr>
          <w:i/>
        </w:rPr>
        <w:t xml:space="preserve">See Grynberg II </w:t>
      </w:r>
      <w:r>
        <w:rPr>
          <w:iCs/>
        </w:rPr>
        <w:t>and</w:t>
      </w:r>
      <w:r>
        <w:rPr>
          <w:i/>
        </w:rPr>
        <w:t xml:space="preserve"> Moye</w:t>
      </w:r>
    </w:p>
    <w:p>
      <w:pPr>
        <w:pStyle w:val="Normal"/>
        <w:widowControl w:val="false"/>
        <w:tabs>
          <w:tab w:val="clear" w:pos="720"/>
          <w:tab w:val="right" w:pos="9360" w:leader="none"/>
        </w:tabs>
        <w:suppressAutoHyphens w:val="true"/>
        <w:jc w:val="both"/>
        <w:rPr>
          <w:b/>
          <w:bCs/>
          <w:i/>
          <w:i/>
          <w:spacing w:val="-3"/>
        </w:rPr>
      </w:pPr>
      <w:r>
        <w:rPr>
          <w:b/>
          <w:bCs/>
          <w:i/>
          <w:spacing w:val="-3"/>
        </w:rPr>
      </w:r>
    </w:p>
    <w:p>
      <w:pPr>
        <w:pStyle w:val="Normal"/>
        <w:widowControl w:val="false"/>
        <w:tabs>
          <w:tab w:val="clear" w:pos="720"/>
          <w:tab w:val="right" w:pos="9360" w:leader="none"/>
        </w:tabs>
        <w:suppressAutoHyphens w:val="true"/>
        <w:jc w:val="both"/>
        <w:rPr>
          <w:b/>
          <w:i/>
          <w:i/>
          <w:spacing w:val="-3"/>
        </w:rPr>
      </w:pPr>
      <w:r>
        <w:rPr>
          <w:b/>
          <w:i/>
          <w:spacing w:val="-3"/>
        </w:rPr>
      </w:r>
      <w:r>
        <w:br w:type="page"/>
      </w:r>
    </w:p>
    <w:p>
      <w:pPr>
        <w:pStyle w:val="Normal"/>
        <w:widowControl w:val="false"/>
        <w:tabs>
          <w:tab w:val="clear" w:pos="720"/>
          <w:tab w:val="right" w:pos="9360" w:leader="none"/>
        </w:tabs>
        <w:suppressAutoHyphens w:val="true"/>
        <w:jc w:val="both"/>
        <w:rPr>
          <w:b/>
          <w:i/>
          <w:i/>
          <w:spacing w:val="-3"/>
        </w:rPr>
      </w:pPr>
      <w:r>
        <w:rPr>
          <w:b/>
          <w:i/>
          <w:spacing w:val="-3"/>
        </w:rPr>
        <w:t>In re April 1, 2001 Incident—Eloy Bay Offshore</w:t>
      </w:r>
      <w:r>
        <w:rPr>
          <w:b/>
          <w:spacing w:val="-3"/>
        </w:rPr>
        <w:tab/>
      </w:r>
      <w:r>
        <w:rPr>
          <w:b/>
          <w:i/>
          <w:spacing w:val="-3"/>
        </w:rPr>
        <w:t>[NO UPDATE</w:t>
      </w:r>
      <w:r>
        <w:rPr>
          <w:b/>
          <w:spacing w:val="-3"/>
        </w:rPr>
        <w:t>]</w:t>
      </w:r>
    </w:p>
    <w:p>
      <w:pPr>
        <w:pStyle w:val="BodyText"/>
        <w:widowControl w:val="false"/>
        <w:suppressAutoHyphens w:val="true"/>
        <w:rPr>
          <w:bCs/>
        </w:rPr>
      </w:pPr>
      <w:r>
        <w:rPr>
          <w:bCs/>
        </w:rPr>
        <w:t>(not yet filed) (Kisluk)</w:t>
      </w:r>
    </w:p>
    <w:p>
      <w:pPr>
        <w:pStyle w:val="Header"/>
        <w:widowControl w:val="false"/>
        <w:numPr>
          <w:ilvl w:val="0"/>
          <w:numId w:val="17"/>
        </w:numPr>
        <w:tabs>
          <w:tab w:val="clear" w:pos="4320"/>
          <w:tab w:val="clear" w:pos="8640"/>
          <w:tab w:val="right" w:pos="9360" w:leader="none"/>
        </w:tabs>
        <w:suppressAutoHyphens w:val="true"/>
        <w:jc w:val="both"/>
        <w:rPr>
          <w:bCs/>
          <w:spacing w:val="-3"/>
        </w:rPr>
      </w:pPr>
      <w:r>
        <w:rPr>
          <w:bCs/>
          <w:spacing w:val="-3"/>
        </w:rPr>
        <w:t>Investigation of incident regarding accident involving ETS employee Richard Payne while operating a crane on rig owned by EOTT</w:t>
      </w:r>
    </w:p>
    <w:p>
      <w:pPr>
        <w:pStyle w:val="Normal"/>
        <w:widowControl w:val="false"/>
        <w:tabs>
          <w:tab w:val="clear" w:pos="720"/>
          <w:tab w:val="right" w:pos="9360" w:leader="none"/>
        </w:tabs>
        <w:suppressAutoHyphens w:val="true"/>
        <w:jc w:val="both"/>
        <w:rPr>
          <w:bCs/>
          <w:i/>
          <w:i/>
          <w:spacing w:val="-3"/>
        </w:rPr>
      </w:pPr>
      <w:r>
        <w:rPr>
          <w:bCs/>
          <w:i/>
          <w:spacing w:val="-3"/>
        </w:rPr>
      </w:r>
    </w:p>
    <w:p>
      <w:pPr>
        <w:pStyle w:val="Normal"/>
        <w:widowControl w:val="false"/>
        <w:tabs>
          <w:tab w:val="clear" w:pos="720"/>
          <w:tab w:val="right" w:pos="9360" w:leader="none"/>
        </w:tabs>
        <w:suppressAutoHyphens w:val="true"/>
        <w:jc w:val="both"/>
        <w:rPr>
          <w:b/>
          <w:i/>
          <w:i/>
          <w:spacing w:val="-3"/>
        </w:rPr>
      </w:pPr>
      <w:r>
        <w:rPr>
          <w:b/>
          <w:i/>
          <w:spacing w:val="-3"/>
        </w:rPr>
        <w:t>In re Enron Petrochemicals, Inc. Claim Against Underwriters</w:t>
      </w:r>
      <w:r>
        <w:rPr>
          <w:b/>
          <w:spacing w:val="-3"/>
        </w:rPr>
        <w:tab/>
      </w:r>
      <w:r>
        <w:rPr>
          <w:b/>
          <w:i/>
          <w:spacing w:val="-3"/>
        </w:rPr>
        <w:t>[NO UPDATE</w:t>
      </w:r>
      <w:r>
        <w:rPr>
          <w:b/>
          <w:spacing w:val="-3"/>
        </w:rPr>
        <w:t>]</w:t>
      </w:r>
    </w:p>
    <w:p>
      <w:pPr>
        <w:pStyle w:val="BodyText"/>
        <w:widowControl w:val="false"/>
        <w:suppressAutoHyphens w:val="true"/>
        <w:rPr>
          <w:bCs/>
        </w:rPr>
      </w:pPr>
      <w:r>
        <w:rPr>
          <w:bCs/>
        </w:rPr>
        <w:t>(not yet filed) (Davis)</w:t>
      </w:r>
    </w:p>
    <w:p>
      <w:pPr>
        <w:pStyle w:val="Header"/>
        <w:widowControl w:val="false"/>
        <w:numPr>
          <w:ilvl w:val="0"/>
          <w:numId w:val="17"/>
        </w:numPr>
        <w:tabs>
          <w:tab w:val="clear" w:pos="4320"/>
          <w:tab w:val="clear" w:pos="8640"/>
          <w:tab w:val="right" w:pos="9360" w:leader="none"/>
        </w:tabs>
        <w:suppressAutoHyphens w:val="true"/>
        <w:jc w:val="both"/>
        <w:rPr>
          <w:bCs/>
          <w:spacing w:val="-3"/>
        </w:rPr>
      </w:pPr>
      <w:r>
        <w:rPr>
          <w:bCs/>
          <w:spacing w:val="-3"/>
        </w:rPr>
        <w:t>Investigation of EPI claim against its underwriters for over $900,000 for contamination of a load of styrene monomer at Baytank facility in Texas, as discovered on or about November 4, 1999</w:t>
      </w:r>
    </w:p>
    <w:p>
      <w:pPr>
        <w:pStyle w:val="Normal"/>
        <w:widowControl w:val="false"/>
        <w:tabs>
          <w:tab w:val="clear" w:pos="720"/>
          <w:tab w:val="right" w:pos="9360" w:leader="none"/>
        </w:tabs>
        <w:suppressAutoHyphens w:val="true"/>
        <w:jc w:val="both"/>
        <w:rPr>
          <w:bCs/>
          <w:i/>
          <w:i/>
          <w:spacing w:val="-3"/>
        </w:rPr>
      </w:pPr>
      <w:r>
        <w:rPr>
          <w:bCs/>
          <w:i/>
          <w:spacing w:val="-3"/>
        </w:rPr>
      </w:r>
    </w:p>
    <w:p>
      <w:pPr>
        <w:pStyle w:val="Heading7"/>
        <w:keepNext w:val="false"/>
        <w:widowControl w:val="false"/>
        <w:suppressAutoHyphens w:val="true"/>
        <w:ind w:hanging="0" w:start="0"/>
        <w:rPr/>
      </w:pPr>
      <w:r>
        <w:rPr/>
        <w:t>Halili v. FGT</w:t>
        <w:tab/>
        <w:t>[UPDATED]</w:t>
      </w:r>
    </w:p>
    <w:p>
      <w:pPr>
        <w:pStyle w:val="BodyText"/>
        <w:widowControl w:val="false"/>
        <w:suppressAutoHyphens w:val="true"/>
        <w:rPr>
          <w:bCs/>
        </w:rPr>
      </w:pPr>
      <w:r>
        <w:rPr>
          <w:bCs/>
        </w:rPr>
        <w:t>(S.D. TX—Galveston Division) (Grant) (John A. Sullivan, Filteau, Sullivan, O’Rourke—local counsel)</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Action filed June 12, 2000 seeking $697,000, alleging damage to oyster lease by FGT in April 1998 during a pipeline lowering project; Halili asserts breach of contract as a third party beneficiary to FGT the easement agreement and trespass upon the oyster lease</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Responsive pleadings filed September 1, 2000</w:t>
      </w:r>
    </w:p>
    <w:p>
      <w:pPr>
        <w:pStyle w:val="Normal"/>
        <w:widowControl w:val="false"/>
        <w:numPr>
          <w:ilvl w:val="0"/>
          <w:numId w:val="3"/>
        </w:numPr>
        <w:tabs>
          <w:tab w:val="clear" w:pos="720"/>
          <w:tab w:val="right" w:pos="9360" w:leader="none"/>
        </w:tabs>
        <w:suppressAutoHyphens w:val="true"/>
        <w:jc w:val="both"/>
        <w:rPr>
          <w:bCs/>
          <w:i/>
          <w:i/>
          <w:spacing w:val="-3"/>
        </w:rPr>
      </w:pPr>
      <w:r>
        <w:rPr>
          <w:b/>
          <w:spacing w:val="-3"/>
        </w:rPr>
        <w:t>Mediation held May 18, 2001; settlement documents circulating</w:t>
      </w:r>
    </w:p>
    <w:p>
      <w:pPr>
        <w:pStyle w:val="Normal"/>
        <w:widowControl w:val="false"/>
        <w:tabs>
          <w:tab w:val="clear" w:pos="720"/>
          <w:tab w:val="right" w:pos="9360" w:leader="none"/>
        </w:tabs>
        <w:suppressAutoHyphens w:val="true"/>
        <w:jc w:val="both"/>
        <w:rPr>
          <w:bCs/>
          <w:i/>
          <w:i/>
          <w:iCs/>
          <w:spacing w:val="-3"/>
        </w:rPr>
      </w:pPr>
      <w:r>
        <w:rPr>
          <w:bCs/>
          <w:i/>
          <w:iCs/>
          <w:spacing w:val="-3"/>
        </w:rPr>
      </w:r>
    </w:p>
    <w:p>
      <w:pPr>
        <w:pStyle w:val="Normal"/>
        <w:widowControl w:val="false"/>
        <w:tabs>
          <w:tab w:val="clear" w:pos="720"/>
          <w:tab w:val="right" w:pos="9360" w:leader="none"/>
        </w:tabs>
        <w:suppressAutoHyphens w:val="true"/>
        <w:jc w:val="both"/>
        <w:rPr>
          <w:b/>
          <w:i/>
          <w:i/>
          <w:spacing w:val="-3"/>
        </w:rPr>
      </w:pPr>
      <w:r>
        <w:rPr>
          <w:b/>
          <w:i/>
          <w:spacing w:val="-3"/>
        </w:rPr>
        <w:t>In re Kimball Trading, L.L.C.</w:t>
      </w:r>
      <w:r>
        <w:rPr>
          <w:b/>
          <w:spacing w:val="-3"/>
        </w:rPr>
        <w:tab/>
      </w:r>
      <w:r>
        <w:rPr>
          <w:b/>
          <w:i/>
          <w:spacing w:val="-3"/>
        </w:rPr>
        <w:t>[NO UPDATE</w:t>
      </w:r>
      <w:r>
        <w:rPr>
          <w:b/>
          <w:spacing w:val="-3"/>
        </w:rPr>
        <w:t>]</w:t>
      </w:r>
    </w:p>
    <w:p>
      <w:pPr>
        <w:pStyle w:val="BodyText"/>
        <w:widowControl w:val="false"/>
        <w:suppressAutoHyphens w:val="true"/>
        <w:rPr/>
      </w:pPr>
      <w:r>
        <w:rPr/>
        <w:t>(Southern District of Texas) (Davis) (Hirsch, Sheiness, Scott, Grossman &amp; Cohn, L.L.P.—local counsel)</w:t>
      </w:r>
    </w:p>
    <w:p>
      <w:pPr>
        <w:pStyle w:val="Normal"/>
        <w:widowControl w:val="false"/>
        <w:numPr>
          <w:ilvl w:val="0"/>
          <w:numId w:val="13"/>
        </w:numPr>
        <w:tabs>
          <w:tab w:val="clear" w:pos="720"/>
          <w:tab w:val="right" w:pos="9360" w:leader="none"/>
        </w:tabs>
        <w:suppressAutoHyphens w:val="true"/>
        <w:jc w:val="both"/>
        <w:rPr>
          <w:spacing w:val="-3"/>
        </w:rPr>
      </w:pPr>
      <w:r>
        <w:rPr>
          <w:spacing w:val="-3"/>
        </w:rPr>
        <w:t>Kimball Trading L.L. C. filed Chapter 11 petition on March 10, 1999, listing approximately $44 million in assets and approximately $32 million in unsecured debts; case has been consolidated for administration purposes with Chapter 11 bankruptcy petition of Kimball Trading Canada, Inc.</w:t>
      </w:r>
    </w:p>
    <w:p>
      <w:pPr>
        <w:pStyle w:val="Normal"/>
        <w:widowControl w:val="false"/>
        <w:numPr>
          <w:ilvl w:val="0"/>
          <w:numId w:val="13"/>
        </w:numPr>
        <w:tabs>
          <w:tab w:val="clear" w:pos="720"/>
          <w:tab w:val="right" w:pos="9360" w:leader="none"/>
        </w:tabs>
        <w:suppressAutoHyphens w:val="true"/>
        <w:jc w:val="both"/>
        <w:rPr>
          <w:spacing w:val="-3"/>
        </w:rPr>
      </w:pPr>
      <w:r>
        <w:rPr>
          <w:spacing w:val="-3"/>
        </w:rPr>
        <w:t>By letter dated March 10, 1999, Kimball Trading rejected one substantial storage agreement with Northern; by letter dated March 15, 1999, Kimball Trading rejected the remainder of Northern’s contracts; on May 20, 1999, court approved rejection by Kimball Trading of all Northern contracts</w:t>
      </w:r>
    </w:p>
    <w:p>
      <w:pPr>
        <w:pStyle w:val="Normal"/>
        <w:widowControl w:val="false"/>
        <w:numPr>
          <w:ilvl w:val="0"/>
          <w:numId w:val="13"/>
        </w:numPr>
        <w:tabs>
          <w:tab w:val="clear" w:pos="720"/>
          <w:tab w:val="right" w:pos="9360" w:leader="none"/>
        </w:tabs>
        <w:suppressAutoHyphens w:val="true"/>
        <w:jc w:val="both"/>
        <w:rPr>
          <w:spacing w:val="-3"/>
        </w:rPr>
      </w:pPr>
      <w:r>
        <w:rPr>
          <w:spacing w:val="-3"/>
        </w:rPr>
        <w:t>Debtor also lists ECT as a creditor for approximately $428,000</w:t>
      </w:r>
    </w:p>
    <w:p>
      <w:pPr>
        <w:pStyle w:val="Normal"/>
        <w:widowControl w:val="false"/>
        <w:numPr>
          <w:ilvl w:val="0"/>
          <w:numId w:val="13"/>
        </w:numPr>
        <w:tabs>
          <w:tab w:val="clear" w:pos="720"/>
          <w:tab w:val="right" w:pos="9360" w:leader="none"/>
        </w:tabs>
        <w:suppressAutoHyphens w:val="true"/>
        <w:jc w:val="both"/>
        <w:rPr>
          <w:spacing w:val="-3"/>
        </w:rPr>
      </w:pPr>
      <w:r>
        <w:rPr>
          <w:spacing w:val="-3"/>
        </w:rPr>
        <w:t>Debtors have ceased business; on December 28, 1999, court entered order confirming Plan, including Liquidating Trust and appointment of Liquidating Trustee</w:t>
      </w:r>
    </w:p>
    <w:p>
      <w:pPr>
        <w:pStyle w:val="Normal"/>
        <w:widowControl w:val="false"/>
        <w:numPr>
          <w:ilvl w:val="0"/>
          <w:numId w:val="13"/>
        </w:numPr>
        <w:tabs>
          <w:tab w:val="clear" w:pos="720"/>
          <w:tab w:val="right" w:pos="9360" w:leader="none"/>
        </w:tabs>
        <w:suppressAutoHyphens w:val="true"/>
        <w:jc w:val="both"/>
        <w:rPr>
          <w:spacing w:val="-3"/>
        </w:rPr>
      </w:pPr>
      <w:r>
        <w:rPr>
          <w:spacing w:val="-3"/>
        </w:rPr>
        <w:t>Northern timely filed proof of claim for $6.4 million before July 4, 1999 deadline; proofs of claims filed by all creditors total approximately $</w:t>
      </w:r>
      <w:r>
        <w:rPr/>
        <w:t>304</w:t>
      </w:r>
      <w:r>
        <w:rPr>
          <w:spacing w:val="-3"/>
        </w:rPr>
        <w:t xml:space="preserve"> million; trustee has objected to Northern’s claim and asked that it be reduced to approximately $3.2 million; by order dated June 15, 2000, Court allowed Northern’s proof of claim in the amount of $5 million, which waives Trustees accounts receivables claim</w:t>
      </w:r>
    </w:p>
    <w:p>
      <w:pPr>
        <w:pStyle w:val="Normal"/>
        <w:widowControl w:val="false"/>
        <w:numPr>
          <w:ilvl w:val="0"/>
          <w:numId w:val="13"/>
        </w:numPr>
        <w:tabs>
          <w:tab w:val="clear" w:pos="720"/>
          <w:tab w:val="right" w:pos="9360" w:leader="none"/>
        </w:tabs>
        <w:suppressAutoHyphens w:val="true"/>
        <w:jc w:val="both"/>
        <w:rPr>
          <w:spacing w:val="-3"/>
        </w:rPr>
      </w:pPr>
      <w:r>
        <w:rPr>
          <w:spacing w:val="-3"/>
        </w:rPr>
        <w:t>On March 23, 2000, Northern (and numerous other parties) served with adversary actions alleging preferential transfers of approximately. $436,000 as to Northern settled at mediation on August 29, 2000, for $180,000; settlement documents executed; order dismissing claims asserted against Northern signed on November 15, 2000</w:t>
      </w:r>
    </w:p>
    <w:p>
      <w:pPr>
        <w:pStyle w:val="Normal"/>
        <w:widowControl w:val="false"/>
        <w:numPr>
          <w:ilvl w:val="0"/>
          <w:numId w:val="13"/>
        </w:numPr>
        <w:tabs>
          <w:tab w:val="clear" w:pos="720"/>
          <w:tab w:val="right" w:pos="9360" w:leader="none"/>
        </w:tabs>
        <w:suppressAutoHyphens w:val="true"/>
        <w:jc w:val="both"/>
        <w:rPr>
          <w:spacing w:val="-3"/>
        </w:rPr>
      </w:pPr>
      <w:r>
        <w:rPr>
          <w:spacing w:val="-3"/>
        </w:rPr>
        <w:t>On June 28, 2000, Northern received $646,471.84 for distribution from Trustee; on November 27, 2000, Northern received $67,678.86 distribution from the Trustee</w:t>
      </w:r>
    </w:p>
    <w:p>
      <w:pPr>
        <w:pStyle w:val="Normal"/>
        <w:widowControl w:val="false"/>
        <w:tabs>
          <w:tab w:val="clear" w:pos="720"/>
          <w:tab w:val="right" w:pos="9360" w:leader="none"/>
        </w:tabs>
        <w:suppressAutoHyphens w:val="true"/>
        <w:jc w:val="both"/>
        <w:rPr>
          <w:b/>
          <w:bCs/>
          <w:i/>
          <w:i/>
          <w:spacing w:val="-3"/>
        </w:rPr>
      </w:pPr>
      <w:r>
        <w:rPr>
          <w:b/>
          <w:bCs/>
          <w:i/>
          <w:spacing w:val="-3"/>
        </w:rPr>
      </w:r>
    </w:p>
    <w:p>
      <w:pPr>
        <w:pStyle w:val="Normal"/>
        <w:widowControl w:val="false"/>
        <w:tabs>
          <w:tab w:val="clear" w:pos="720"/>
          <w:tab w:val="right" w:pos="9360" w:leader="none"/>
        </w:tabs>
        <w:suppressAutoHyphens w:val="true"/>
        <w:jc w:val="both"/>
        <w:rPr/>
      </w:pPr>
      <w:r>
        <w:rPr>
          <w:b/>
          <w:i/>
          <w:spacing w:val="-3"/>
        </w:rPr>
        <w:t>Moye v. Exxon, FGT, et al.</w:t>
      </w:r>
      <w:r>
        <w:rPr>
          <w:b/>
          <w:spacing w:val="-3"/>
        </w:rPr>
        <w:tab/>
      </w:r>
      <w:r>
        <w:rPr>
          <w:b/>
          <w:i/>
          <w:spacing w:val="-3"/>
        </w:rPr>
        <w:t>[NO UPDATE]</w:t>
      </w:r>
    </w:p>
    <w:p>
      <w:pPr>
        <w:pStyle w:val="BodyText"/>
        <w:widowControl w:val="false"/>
        <w:suppressAutoHyphens w:val="true"/>
        <w:rPr/>
      </w:pPr>
      <w:r>
        <w:rPr/>
        <w:t>(State Court—Monroe County, Alabama) (Cheek/Davis) (Maynard, Cooper (shared with Sonat and Tenneco)—local counsel; Vinson &amp; Elkins assisting)</w:t>
      </w:r>
    </w:p>
    <w:p>
      <w:pPr>
        <w:pStyle w:val="Normal"/>
        <w:widowControl w:val="false"/>
        <w:numPr>
          <w:ilvl w:val="0"/>
          <w:numId w:val="18"/>
        </w:numPr>
        <w:tabs>
          <w:tab w:val="clear" w:pos="720"/>
          <w:tab w:val="right" w:pos="9360" w:leader="none"/>
        </w:tabs>
        <w:suppressAutoHyphens w:val="true"/>
        <w:jc w:val="both"/>
        <w:rPr>
          <w:spacing w:val="-3"/>
        </w:rPr>
      </w:pPr>
      <w:r>
        <w:rPr>
          <w:spacing w:val="-3"/>
        </w:rPr>
        <w:t>Putative royalty owner class action concerning Big Escambia Creek Field, Escambia County,  Alabama; compensatory and punitive damages (unspecified) and injunctive relief sought</w:t>
      </w:r>
    </w:p>
    <w:p>
      <w:pPr>
        <w:pStyle w:val="Normal"/>
        <w:widowControl w:val="false"/>
        <w:numPr>
          <w:ilvl w:val="0"/>
          <w:numId w:val="18"/>
        </w:numPr>
        <w:tabs>
          <w:tab w:val="clear" w:pos="720"/>
          <w:tab w:val="right" w:pos="9360" w:leader="none"/>
        </w:tabs>
        <w:suppressAutoHyphens w:val="true"/>
        <w:jc w:val="both"/>
        <w:rPr>
          <w:spacing w:val="-3"/>
        </w:rPr>
      </w:pPr>
      <w:r>
        <w:rPr>
          <w:spacing w:val="-3"/>
        </w:rPr>
        <w:t xml:space="preserve">Class representatives allege conspiracy to mismeasure volume and Btu content of gas; allegations include verbatim counts from </w:t>
      </w:r>
      <w:r>
        <w:rPr>
          <w:i/>
          <w:spacing w:val="-3"/>
        </w:rPr>
        <w:t>Grynberg</w:t>
      </w:r>
      <w:r>
        <w:rPr>
          <w:spacing w:val="-3"/>
        </w:rPr>
        <w:t xml:space="preserve"> suit</w:t>
      </w:r>
    </w:p>
    <w:p>
      <w:pPr>
        <w:pStyle w:val="Normal"/>
        <w:widowControl w:val="false"/>
        <w:numPr>
          <w:ilvl w:val="0"/>
          <w:numId w:val="18"/>
        </w:numPr>
        <w:tabs>
          <w:tab w:val="clear" w:pos="720"/>
          <w:tab w:val="right" w:pos="9360" w:leader="none"/>
        </w:tabs>
        <w:suppressAutoHyphens w:val="true"/>
        <w:jc w:val="both"/>
        <w:rPr>
          <w:spacing w:val="-3"/>
        </w:rPr>
      </w:pPr>
      <w:r>
        <w:rPr>
          <w:spacing w:val="-3"/>
        </w:rPr>
        <w:t>FGT answered original complaint April 10, 1998, and amended complaint on April 23, 1998</w:t>
      </w:r>
    </w:p>
    <w:p>
      <w:pPr>
        <w:pStyle w:val="Normal"/>
        <w:widowControl w:val="false"/>
        <w:numPr>
          <w:ilvl w:val="0"/>
          <w:numId w:val="18"/>
        </w:numPr>
        <w:tabs>
          <w:tab w:val="clear" w:pos="720"/>
          <w:tab w:val="right" w:pos="9360" w:leader="none"/>
        </w:tabs>
        <w:suppressAutoHyphens w:val="true"/>
        <w:jc w:val="both"/>
        <w:rPr>
          <w:spacing w:val="-3"/>
        </w:rPr>
      </w:pPr>
      <w:r>
        <w:rPr>
          <w:spacing w:val="-3"/>
        </w:rPr>
        <w:t>Case management order entered December 4, 1998, granting defendants’ motion for bifurcation of class and merits discovery; removing seal; and, scheduling class certification hearing for Fall 1999; await service of class discovery</w:t>
      </w:r>
    </w:p>
    <w:p>
      <w:pPr>
        <w:pStyle w:val="Normal"/>
        <w:widowControl w:val="false"/>
        <w:numPr>
          <w:ilvl w:val="0"/>
          <w:numId w:val="18"/>
        </w:numPr>
        <w:tabs>
          <w:tab w:val="clear" w:pos="720"/>
          <w:tab w:val="right" w:pos="9360" w:leader="none"/>
        </w:tabs>
        <w:suppressAutoHyphens w:val="true"/>
        <w:jc w:val="both"/>
        <w:rPr>
          <w:spacing w:val="-3"/>
        </w:rPr>
      </w:pPr>
      <w:r>
        <w:rPr/>
        <w:t>Exxon deposition postponed indefinitely</w:t>
      </w:r>
    </w:p>
    <w:p>
      <w:pPr>
        <w:pStyle w:val="Normal"/>
        <w:widowControl w:val="false"/>
        <w:numPr>
          <w:ilvl w:val="0"/>
          <w:numId w:val="18"/>
        </w:numPr>
        <w:tabs>
          <w:tab w:val="clear" w:pos="720"/>
          <w:tab w:val="right" w:pos="9360" w:leader="none"/>
        </w:tabs>
        <w:suppressAutoHyphens w:val="true"/>
        <w:jc w:val="both"/>
        <w:rPr>
          <w:spacing w:val="-3"/>
        </w:rPr>
      </w:pPr>
      <w:r>
        <w:rPr/>
        <w:t>Exxon filed motion for dismissal and/or abatement on October 8, 1999; await ruling</w:t>
      </w:r>
    </w:p>
    <w:p>
      <w:pPr>
        <w:pStyle w:val="Normal"/>
        <w:widowControl w:val="false"/>
        <w:numPr>
          <w:ilvl w:val="0"/>
          <w:numId w:val="18"/>
        </w:numPr>
        <w:tabs>
          <w:tab w:val="clear" w:pos="720"/>
          <w:tab w:val="right" w:pos="9360" w:leader="none"/>
        </w:tabs>
        <w:suppressAutoHyphens w:val="true"/>
        <w:jc w:val="both"/>
        <w:rPr>
          <w:spacing w:val="-3"/>
        </w:rPr>
      </w:pPr>
      <w:r>
        <w:rPr>
          <w:spacing w:val="-3"/>
        </w:rPr>
        <w:t>On October 21, 1999, Moye filed a Second Amended Complaint; Exxon, in turn, moved to abate on November 16, 1999; Judge Welch granted a 120 day abatement which expired March 15, 2000; Moye filed a Third Amended Complaint on May 11, 2000; Exxon again moved to abate on June 29, 2000, and FGT joined; at hearing on abatement held September 11, 2000, judge denied motion to abate; on October 6, 2000, Exxon filed writ of mandamus—FGT did not join in that filing</w:t>
      </w:r>
    </w:p>
    <w:p>
      <w:pPr>
        <w:pStyle w:val="Normal"/>
        <w:widowControl w:val="false"/>
        <w:numPr>
          <w:ilvl w:val="0"/>
          <w:numId w:val="18"/>
        </w:numPr>
        <w:tabs>
          <w:tab w:val="clear" w:pos="720"/>
          <w:tab w:val="right" w:pos="9360" w:leader="none"/>
        </w:tabs>
        <w:suppressAutoHyphens w:val="true"/>
        <w:jc w:val="both"/>
        <w:rPr>
          <w:spacing w:val="-3"/>
        </w:rPr>
      </w:pPr>
      <w:r>
        <w:rPr>
          <w:spacing w:val="-3"/>
        </w:rPr>
        <w:t xml:space="preserve">Case currently being monitored by Staci Holtzman; ELU awaiting further instructions.  </w:t>
      </w:r>
    </w:p>
    <w:p>
      <w:pPr>
        <w:pStyle w:val="Normal"/>
        <w:widowControl w:val="false"/>
        <w:numPr>
          <w:ilvl w:val="0"/>
          <w:numId w:val="18"/>
        </w:numPr>
        <w:tabs>
          <w:tab w:val="clear" w:pos="720"/>
          <w:tab w:val="right" w:pos="9360" w:leader="none"/>
        </w:tabs>
        <w:suppressAutoHyphens w:val="true"/>
        <w:jc w:val="both"/>
        <w:rPr>
          <w:spacing w:val="-3"/>
        </w:rPr>
      </w:pPr>
      <w:r>
        <w:rPr>
          <w:i/>
          <w:spacing w:val="-3"/>
        </w:rPr>
        <w:t xml:space="preserve">See Grynberg II </w:t>
      </w:r>
      <w:r>
        <w:rPr>
          <w:iCs/>
          <w:spacing w:val="-3"/>
        </w:rPr>
        <w:t xml:space="preserve">and </w:t>
      </w:r>
      <w:r>
        <w:rPr>
          <w:i/>
          <w:spacing w:val="-3"/>
        </w:rPr>
        <w:t>Quinque</w:t>
      </w:r>
    </w:p>
    <w:p>
      <w:pPr>
        <w:pStyle w:val="Heading7"/>
        <w:suppressAutoHyphens w:val="true"/>
        <w:ind w:hanging="0" w:start="0"/>
        <w:rPr/>
      </w:pPr>
      <w:r>
        <w:rPr/>
        <w:tab/>
      </w:r>
    </w:p>
    <w:p>
      <w:pPr>
        <w:pStyle w:val="Heading7"/>
        <w:suppressAutoHyphens w:val="true"/>
        <w:ind w:hanging="0" w:start="0"/>
        <w:rPr/>
      </w:pPr>
      <w:r>
        <w:rPr/>
        <w:t xml:space="preserve">Northern Natural Gas Company v. ONEOK Bushton Processing, Inc. </w:t>
        <w:tab/>
        <w:t>[UPDATED]</w:t>
      </w:r>
    </w:p>
    <w:p>
      <w:pPr>
        <w:pStyle w:val="toaheading"/>
        <w:tabs>
          <w:tab w:val="clear" w:pos="720"/>
          <w:tab w:val="right" w:pos="9360" w:leader="none"/>
        </w:tabs>
        <w:spacing w:before="0" w:after="0"/>
        <w:jc w:val="both"/>
        <w:rPr>
          <w:b w:val="false"/>
          <w:bCs/>
          <w:caps w:val="false"/>
          <w:smallCaps w:val="false"/>
          <w:spacing w:val="-3"/>
        </w:rPr>
      </w:pPr>
      <w:r>
        <w:rPr>
          <w:b w:val="false"/>
          <w:bCs/>
          <w:caps w:val="false"/>
          <w:smallCaps w:val="false"/>
          <w:spacing w:val="-3"/>
        </w:rPr>
        <w:t>(self administered arbitration) (Davis) (Grant Harvey, Gibbs &amp; Bruns – outside counsel)</w:t>
      </w:r>
    </w:p>
    <w:p>
      <w:pPr>
        <w:pStyle w:val="Normal"/>
        <w:numPr>
          <w:ilvl w:val="0"/>
          <w:numId w:val="18"/>
        </w:numPr>
        <w:tabs>
          <w:tab w:val="clear" w:pos="720"/>
          <w:tab w:val="right" w:pos="9360" w:leader="none"/>
        </w:tabs>
        <w:jc w:val="both"/>
        <w:rPr>
          <w:bCs/>
          <w:spacing w:val="-3"/>
        </w:rPr>
      </w:pPr>
      <w:r>
        <w:rPr>
          <w:bCs/>
          <w:spacing w:val="-3"/>
        </w:rPr>
        <w:t xml:space="preserve">On February 23, 2001, Northern served demand for arbitration and designated Steve Anderton </w:t>
      </w:r>
      <w:r>
        <w:rPr>
          <w:bCs/>
        </w:rPr>
        <w:t>of Strasburger &amp; Price</w:t>
      </w:r>
      <w:r>
        <w:rPr>
          <w:bCs/>
          <w:spacing w:val="-3"/>
        </w:rPr>
        <w:t xml:space="preserve"> as arbitrator; ONEOK designated James Gaitis as ONEOK’s arbitrator; John Bowman of Fulbright &amp; Jawarski selected as neutral</w:t>
      </w:r>
    </w:p>
    <w:p>
      <w:pPr>
        <w:pStyle w:val="Normal"/>
        <w:numPr>
          <w:ilvl w:val="0"/>
          <w:numId w:val="18"/>
        </w:numPr>
        <w:tabs>
          <w:tab w:val="clear" w:pos="720"/>
          <w:tab w:val="right" w:pos="9360" w:leader="none"/>
        </w:tabs>
        <w:jc w:val="both"/>
        <w:rPr>
          <w:bCs/>
          <w:spacing w:val="-3"/>
          <w:u w:val="single"/>
        </w:rPr>
      </w:pPr>
      <w:r>
        <w:rPr>
          <w:bCs/>
        </w:rPr>
        <w:t xml:space="preserve">NNG claims approximately $1,800,000 million on a measurement-related imbalance claim; ONEOK counterclaim of approximately $7,000,000 million alleging mismeasurement at Bushton Plant since July 1998 </w:t>
      </w:r>
    </w:p>
    <w:p>
      <w:pPr>
        <w:pStyle w:val="Normal"/>
        <w:numPr>
          <w:ilvl w:val="0"/>
          <w:numId w:val="18"/>
        </w:numPr>
        <w:tabs>
          <w:tab w:val="clear" w:pos="720"/>
          <w:tab w:val="right" w:pos="9360" w:leader="none"/>
        </w:tabs>
        <w:jc w:val="both"/>
        <w:rPr>
          <w:b/>
          <w:spacing w:val="-3"/>
        </w:rPr>
      </w:pPr>
      <w:r>
        <w:rPr>
          <w:b/>
          <w:spacing w:val="-3"/>
        </w:rPr>
        <w:t>Arbitration concluded May 18, 2001, with final briefs filed May 23, 2001; rebuttal briefs were filed on May 25, 2001; await decision</w:t>
      </w:r>
    </w:p>
    <w:p>
      <w:pPr>
        <w:pStyle w:val="Normal"/>
        <w:numPr>
          <w:ilvl w:val="0"/>
          <w:numId w:val="18"/>
        </w:numPr>
        <w:tabs>
          <w:tab w:val="clear" w:pos="720"/>
          <w:tab w:val="right" w:pos="9360" w:leader="none"/>
        </w:tabs>
        <w:jc w:val="both"/>
        <w:rPr>
          <w:bCs/>
          <w:spacing w:val="-3"/>
          <w:u w:val="single"/>
        </w:rPr>
      </w:pPr>
      <w:r>
        <w:rPr>
          <w:bCs/>
          <w:i/>
          <w:iCs/>
        </w:rPr>
        <w:t xml:space="preserve">See NNG v. ONEOK </w:t>
      </w:r>
      <w:r>
        <w:rPr>
          <w:bCs/>
        </w:rPr>
        <w:t>(DJ action)</w:t>
      </w:r>
    </w:p>
    <w:p>
      <w:pPr>
        <w:pStyle w:val="Normal"/>
        <w:widowControl w:val="false"/>
        <w:tabs>
          <w:tab w:val="clear" w:pos="720"/>
          <w:tab w:val="right" w:pos="9360" w:leader="none"/>
        </w:tabs>
        <w:suppressAutoHyphens w:val="true"/>
        <w:jc w:val="both"/>
        <w:rPr>
          <w:bCs/>
          <w:spacing w:val="-3"/>
          <w:u w:val="single"/>
        </w:rPr>
      </w:pPr>
      <w:r>
        <w:rPr>
          <w:bCs/>
          <w:spacing w:val="-3"/>
          <w:u w:val="single"/>
        </w:rPr>
      </w:r>
    </w:p>
    <w:p>
      <w:pPr>
        <w:pStyle w:val="Heading7"/>
        <w:tabs>
          <w:tab w:val="right" w:pos="9360" w:leader="none"/>
          <w:tab w:val="left" w:pos="10980" w:leader="none"/>
        </w:tabs>
        <w:suppressAutoHyphens w:val="true"/>
        <w:ind w:hanging="0" w:start="0"/>
        <w:rPr/>
      </w:pPr>
      <w:r>
        <w:rPr/>
        <w:tab/>
        <w:t>[NO UPDATE]</w:t>
      </w:r>
    </w:p>
    <w:p>
      <w:pPr>
        <w:pStyle w:val="Heading7"/>
        <w:tabs>
          <w:tab w:val="left" w:pos="8190" w:leader="none"/>
          <w:tab w:val="right" w:pos="9360" w:leader="none"/>
          <w:tab w:val="left" w:pos="10980" w:leader="none"/>
        </w:tabs>
        <w:suppressAutoHyphens w:val="true"/>
        <w:ind w:hanging="0" w:start="0"/>
        <w:rPr/>
      </w:pPr>
      <w:r>
        <w:rPr/>
        <w:t>Northern Natural Gas Company v. ONEOK Bushton Processing, Inc. (a/k/a) In re Northern Claim Against Oneok)</w:t>
      </w:r>
    </w:p>
    <w:p>
      <w:pPr>
        <w:pStyle w:val="Normal"/>
        <w:widowControl w:val="false"/>
        <w:tabs>
          <w:tab w:val="clear" w:pos="720"/>
          <w:tab w:val="right" w:pos="9360" w:leader="none"/>
        </w:tabs>
        <w:jc w:val="both"/>
        <w:rPr/>
      </w:pPr>
      <w:r>
        <w:rPr>
          <w:bCs/>
          <w:iCs/>
          <w:spacing w:val="-3"/>
        </w:rPr>
        <w:t xml:space="preserve">(District Court, Harris County, Texas) (Davis) </w:t>
      </w:r>
      <w:r>
        <w:rPr>
          <w:bCs/>
          <w:spacing w:val="-3"/>
        </w:rPr>
        <w:t>(Grant Harvey, Gibbs &amp; Bruns – outside counsel)</w:t>
      </w:r>
    </w:p>
    <w:p>
      <w:pPr>
        <w:pStyle w:val="Normal"/>
        <w:numPr>
          <w:ilvl w:val="0"/>
          <w:numId w:val="18"/>
        </w:numPr>
        <w:tabs>
          <w:tab w:val="clear" w:pos="720"/>
          <w:tab w:val="right" w:pos="9360" w:leader="none"/>
        </w:tabs>
        <w:jc w:val="both"/>
        <w:rPr>
          <w:bCs/>
          <w:iCs/>
          <w:spacing w:val="-3"/>
        </w:rPr>
      </w:pPr>
      <w:r>
        <w:rPr>
          <w:bCs/>
        </w:rPr>
        <w:t>On February 23, 2001, Northern filed declaratory judgment action seeking order that ONEOK must pay imbalances arising out of contractually required measurement methodology</w:t>
      </w:r>
    </w:p>
    <w:p>
      <w:pPr>
        <w:pStyle w:val="Normal"/>
        <w:numPr>
          <w:ilvl w:val="0"/>
          <w:numId w:val="18"/>
        </w:numPr>
        <w:tabs>
          <w:tab w:val="clear" w:pos="720"/>
          <w:tab w:val="right" w:pos="9360" w:leader="none"/>
        </w:tabs>
        <w:jc w:val="both"/>
        <w:rPr>
          <w:bCs/>
          <w:iCs/>
          <w:spacing w:val="-3"/>
        </w:rPr>
      </w:pPr>
      <w:r>
        <w:rPr>
          <w:bCs/>
        </w:rPr>
        <w:t>ONEOK served February 26, 2001</w:t>
      </w:r>
    </w:p>
    <w:p>
      <w:pPr>
        <w:pStyle w:val="Normal"/>
        <w:numPr>
          <w:ilvl w:val="0"/>
          <w:numId w:val="18"/>
        </w:numPr>
        <w:tabs>
          <w:tab w:val="clear" w:pos="720"/>
          <w:tab w:val="right" w:pos="9360" w:leader="none"/>
        </w:tabs>
        <w:jc w:val="both"/>
        <w:rPr>
          <w:bCs/>
          <w:iCs/>
          <w:spacing w:val="-3"/>
        </w:rPr>
      </w:pPr>
      <w:r>
        <w:rPr>
          <w:bCs/>
          <w:i/>
          <w:iCs/>
        </w:rPr>
        <w:t>See NNG v. ONEOK</w:t>
      </w:r>
      <w:r>
        <w:rPr>
          <w:bCs/>
        </w:rPr>
        <w:t xml:space="preserve"> (arbitration)</w:t>
      </w:r>
    </w:p>
    <w:p>
      <w:pPr>
        <w:pStyle w:val="Normal"/>
        <w:tabs>
          <w:tab w:val="clear" w:pos="720"/>
          <w:tab w:val="right" w:pos="9360" w:leader="none"/>
        </w:tabs>
        <w:jc w:val="both"/>
        <w:rPr>
          <w:bCs/>
          <w:iCs/>
          <w:spacing w:val="-3"/>
        </w:rPr>
      </w:pPr>
      <w:r>
        <w:rPr>
          <w:bCs/>
          <w:iCs/>
          <w:spacing w:val="-3"/>
        </w:rPr>
      </w:r>
      <w:r>
        <w:br w:type="page"/>
      </w:r>
    </w:p>
    <w:p>
      <w:pPr>
        <w:pStyle w:val="Normal"/>
        <w:widowControl w:val="false"/>
        <w:tabs>
          <w:tab w:val="clear" w:pos="720"/>
          <w:tab w:val="right" w:pos="9360" w:leader="none"/>
        </w:tabs>
        <w:jc w:val="both"/>
        <w:rPr>
          <w:b/>
          <w:i/>
          <w:i/>
          <w:spacing w:val="-3"/>
        </w:rPr>
      </w:pPr>
      <w:r>
        <w:rPr>
          <w:b/>
          <w:i/>
          <w:spacing w:val="-3"/>
        </w:rPr>
        <w:tab/>
        <w:t>[NO UPDATE]</w:t>
      </w:r>
    </w:p>
    <w:p>
      <w:pPr>
        <w:pStyle w:val="Normal"/>
        <w:widowControl w:val="false"/>
        <w:tabs>
          <w:tab w:val="clear" w:pos="720"/>
          <w:tab w:val="right" w:pos="9360" w:leader="none"/>
        </w:tabs>
        <w:jc w:val="both"/>
        <w:rPr>
          <w:b/>
          <w:i/>
          <w:i/>
          <w:spacing w:val="-3"/>
        </w:rPr>
      </w:pPr>
      <w:r>
        <w:rPr>
          <w:b/>
          <w:i/>
          <w:spacing w:val="-3"/>
        </w:rPr>
        <w:t xml:space="preserve">U.S.A., ex rel. Grynberg v. Enron Corp., et al. and U.S.A., ex rel. Grynberg v. Southern Natural Gas Company (including FGT, Citrus, and Citrus Interstate) </w:t>
      </w:r>
      <w:r>
        <w:rPr>
          <w:b/>
          <w:spacing w:val="-3"/>
        </w:rPr>
        <w:t>(“</w:t>
      </w:r>
      <w:r>
        <w:rPr>
          <w:b/>
          <w:i/>
          <w:spacing w:val="-3"/>
        </w:rPr>
        <w:t>Grynberg II</w:t>
      </w:r>
      <w:r>
        <w:rPr>
          <w:b/>
          <w:spacing w:val="-3"/>
        </w:rPr>
        <w:t>”)</w:t>
      </w:r>
    </w:p>
    <w:p>
      <w:pPr>
        <w:pStyle w:val="BodyText"/>
        <w:widowControl w:val="false"/>
        <w:rPr/>
      </w:pPr>
      <w:r>
        <w:rPr/>
        <w:t>(Denver and New Orleans, federal district courts) (MDL—Casper, Wyoming federal court) (Cheek/Davis) (Gibbs &amp; Bruns, Vinson &amp; Elkins, Rothgerber Johnson &amp; Lyons and Beatty &amp; Associates)</w:t>
      </w:r>
    </w:p>
    <w:p>
      <w:pPr>
        <w:pStyle w:val="BodyText"/>
        <w:widowControl w:val="false"/>
        <w:numPr>
          <w:ilvl w:val="0"/>
          <w:numId w:val="6"/>
        </w:numPr>
        <w:rPr/>
      </w:pPr>
      <w:r>
        <w:rPr/>
        <w:t>Enron Corp., Enron Oil &amp; Gas Company, Northern Natural Gas Company, Florida Gas Transmission Company, Transwestern Pipeline Company, Black Marlin Pipeline Company, Houston Pipe Line Company, Northern Border Pipeline Company, Louisiana Resource Company, Enron Gas Marketing, Inc., Citrus Corp. and Citrus Interstate Pipeline Company are defendants</w:t>
      </w:r>
    </w:p>
    <w:p>
      <w:pPr>
        <w:pStyle w:val="BodyText"/>
        <w:widowControl w:val="false"/>
        <w:numPr>
          <w:ilvl w:val="0"/>
          <w:numId w:val="6"/>
        </w:numPr>
        <w:rPr/>
      </w:pPr>
      <w:r>
        <w:rPr/>
        <w:t xml:space="preserve">Grynberg alleges in a </w:t>
      </w:r>
      <w:r>
        <w:rPr>
          <w:i/>
        </w:rPr>
        <w:t>qui tam</w:t>
      </w:r>
      <w:r>
        <w:rPr/>
        <w:t xml:space="preserve"> action under the False Claims Act that defendants conspired to mismeasure heating value and volume of gas produced on federal and Indian lands which caused understatement of royalties to the United States and Native American; Grynberg seeks recovery of the alleged underpayments, unspecified in amount, trebeled, plus attorneys fees</w:t>
      </w:r>
    </w:p>
    <w:p>
      <w:pPr>
        <w:pStyle w:val="BodyText"/>
        <w:widowControl w:val="false"/>
        <w:numPr>
          <w:ilvl w:val="0"/>
          <w:numId w:val="6"/>
        </w:numPr>
        <w:rPr/>
      </w:pPr>
      <w:r>
        <w:rPr/>
        <w:t>Justice Department determined not to intervene in the actions naming over 300 pipeline/gatherers, gas marketers and producers</w:t>
      </w:r>
    </w:p>
    <w:p>
      <w:pPr>
        <w:pStyle w:val="BodyText"/>
        <w:widowControl w:val="false"/>
        <w:numPr>
          <w:ilvl w:val="0"/>
          <w:numId w:val="6"/>
        </w:numPr>
        <w:rPr/>
      </w:pPr>
      <w:r>
        <w:rPr/>
        <w:t xml:space="preserve">Industry Steering Committees formed </w:t>
      </w:r>
    </w:p>
    <w:p>
      <w:pPr>
        <w:pStyle w:val="Normal"/>
        <w:numPr>
          <w:ilvl w:val="0"/>
          <w:numId w:val="16"/>
        </w:numPr>
        <w:suppressAutoHyphens w:val="true"/>
        <w:jc w:val="both"/>
        <w:rPr>
          <w:i/>
          <w:i/>
          <w:spacing w:val="-3"/>
        </w:rPr>
      </w:pPr>
      <w:r>
        <w:rPr/>
        <w:t>October 20, 1999, MDL panel ordered consolidation in Wyoming</w:t>
      </w:r>
    </w:p>
    <w:p>
      <w:pPr>
        <w:pStyle w:val="Normal"/>
        <w:numPr>
          <w:ilvl w:val="0"/>
          <w:numId w:val="16"/>
        </w:numPr>
        <w:suppressAutoHyphens w:val="true"/>
        <w:jc w:val="both"/>
        <w:rPr>
          <w:i/>
          <w:i/>
          <w:spacing w:val="-3"/>
        </w:rPr>
      </w:pPr>
      <w:r>
        <w:rPr/>
        <w:t xml:space="preserve">Enron entities joined filing on November 19, 1999 of Coordinated Defendants’ Motion to Dismiss; on January 14, 2000, Grynberg responded; defendants replied on February 14, 2000; oral argument held March 17, 2000; </w:t>
      </w:r>
      <w:r>
        <w:rPr>
          <w:b/>
          <w:bCs/>
        </w:rPr>
        <w:t>motion denied by order entered May 18, 2001</w:t>
      </w:r>
    </w:p>
    <w:p>
      <w:pPr>
        <w:pStyle w:val="Normal"/>
        <w:widowControl w:val="false"/>
        <w:numPr>
          <w:ilvl w:val="0"/>
          <w:numId w:val="8"/>
        </w:numPr>
        <w:tabs>
          <w:tab w:val="clear" w:pos="720"/>
          <w:tab w:val="right" w:pos="9360" w:leader="none"/>
        </w:tabs>
        <w:suppressAutoHyphens w:val="true"/>
        <w:jc w:val="both"/>
        <w:rPr/>
      </w:pPr>
      <w:r>
        <w:rPr/>
        <w:t xml:space="preserve">On October 6, 2000, MDL Panel ordered the Wright and Osterhoudt East Texas gas cases transferred to Wyoming and consolidated with </w:t>
      </w:r>
      <w:r>
        <w:rPr>
          <w:i/>
          <w:iCs/>
        </w:rPr>
        <w:t>Grynberg II</w:t>
      </w:r>
    </w:p>
    <w:p>
      <w:pPr>
        <w:pStyle w:val="Normal"/>
        <w:widowControl w:val="false"/>
        <w:numPr>
          <w:ilvl w:val="0"/>
          <w:numId w:val="8"/>
        </w:numPr>
        <w:tabs>
          <w:tab w:val="clear" w:pos="720"/>
          <w:tab w:val="right" w:pos="9360" w:leader="none"/>
        </w:tabs>
        <w:suppressAutoHyphens w:val="true"/>
        <w:jc w:val="both"/>
        <w:rPr/>
      </w:pPr>
      <w:r>
        <w:rPr/>
        <w:t xml:space="preserve">On July 20, 2000, the U.S. moved to dismiss the valuation portion (but not the measurement allegations) of Grynberg's complaints, claiming that Grynberg's valuation allegations are interfering with the investigation of the East Texas gas </w:t>
      </w:r>
      <w:r>
        <w:rPr>
          <w:i/>
          <w:iCs/>
        </w:rPr>
        <w:t>qui tam</w:t>
      </w:r>
      <w:r>
        <w:rPr/>
        <w:t xml:space="preserve"> cases and that Grynberg was not the original source of the valuation claims as required by the False Claims Act; hearing thereon held February 22, 2001; await decision</w:t>
      </w:r>
    </w:p>
    <w:p>
      <w:pPr>
        <w:pStyle w:val="Normal"/>
        <w:suppressAutoHyphens w:val="true"/>
        <w:jc w:val="both"/>
        <w:rPr>
          <w:bCs/>
          <w:i/>
          <w:i/>
          <w:spacing w:val="-3"/>
        </w:rPr>
      </w:pPr>
      <w:r>
        <w:rPr>
          <w:bCs/>
          <w:i/>
          <w:spacing w:val="-3"/>
        </w:rPr>
      </w:r>
    </w:p>
    <w:p>
      <w:pPr>
        <w:pStyle w:val="Normal"/>
        <w:tabs>
          <w:tab w:val="clear" w:pos="720"/>
          <w:tab w:val="right" w:pos="9360" w:leader="none"/>
        </w:tabs>
        <w:jc w:val="center"/>
        <w:rPr>
          <w:b/>
          <w:spacing w:val="-3"/>
        </w:rPr>
      </w:pPr>
      <w:r>
        <w:rPr>
          <w:b/>
          <w:spacing w:val="-3"/>
          <w:u w:val="single"/>
        </w:rPr>
        <w:t>ENRON ENERGY SERVICES.</w:t>
      </w:r>
    </w:p>
    <w:p>
      <w:pPr>
        <w:pStyle w:val="Normal"/>
        <w:tabs>
          <w:tab w:val="clear" w:pos="720"/>
          <w:tab w:val="right" w:pos="9360" w:leader="none"/>
        </w:tabs>
        <w:jc w:val="both"/>
        <w:rPr>
          <w:b/>
          <w:spacing w:val="-3"/>
        </w:rPr>
      </w:pPr>
      <w:r>
        <w:rPr>
          <w:b/>
          <w:spacing w:val="-3"/>
        </w:rPr>
      </w:r>
    </w:p>
    <w:p>
      <w:pPr>
        <w:pStyle w:val="Heading1"/>
        <w:suppressAutoHyphens w:val="true"/>
        <w:spacing w:before="0" w:after="0"/>
        <w:ind w:hanging="0" w:start="0"/>
        <w:rPr>
          <w:shadow w:val="false"/>
          <w:spacing w:val="-3"/>
          <w:kern w:val="0"/>
        </w:rPr>
      </w:pPr>
      <w:r>
        <w:rPr>
          <w:shadow w:val="false"/>
          <w:spacing w:val="-3"/>
          <w:kern w:val="0"/>
        </w:rPr>
        <w:t>None</w:t>
      </w:r>
    </w:p>
    <w:p>
      <w:pPr>
        <w:pStyle w:val="Normal"/>
        <w:tabs>
          <w:tab w:val="clear" w:pos="720"/>
          <w:tab w:val="left" w:pos="1440" w:leader="none"/>
          <w:tab w:val="left" w:pos="5760" w:leader="none"/>
        </w:tabs>
        <w:jc w:val="center"/>
        <w:rPr>
          <w:b/>
          <w:shadow/>
          <w:spacing w:val="-3"/>
          <w:kern w:val="0"/>
          <w:u w:val="single"/>
        </w:rPr>
      </w:pPr>
      <w:r>
        <w:rPr>
          <w:b/>
          <w:shadow/>
          <w:spacing w:val="-3"/>
          <w:kern w:val="0"/>
          <w:u w:val="single"/>
        </w:rPr>
      </w:r>
    </w:p>
    <w:p>
      <w:pPr>
        <w:pStyle w:val="Normal"/>
        <w:tabs>
          <w:tab w:val="clear" w:pos="720"/>
          <w:tab w:val="left" w:pos="1440" w:leader="none"/>
          <w:tab w:val="left" w:pos="5760" w:leader="none"/>
        </w:tabs>
        <w:jc w:val="center"/>
        <w:rPr>
          <w:b/>
          <w:spacing w:val="-3"/>
        </w:rPr>
      </w:pPr>
      <w:r>
        <w:rPr>
          <w:b/>
          <w:spacing w:val="-3"/>
          <w:u w:val="single"/>
        </w:rPr>
        <w:t>ENRON PROPERTY</w:t>
      </w:r>
    </w:p>
    <w:p>
      <w:pPr>
        <w:pStyle w:val="Normal"/>
        <w:tabs>
          <w:tab w:val="clear" w:pos="720"/>
          <w:tab w:val="left" w:pos="1440" w:leader="none"/>
          <w:tab w:val="left" w:pos="5760" w:leader="none"/>
        </w:tabs>
        <w:jc w:val="both"/>
        <w:rPr>
          <w:b/>
          <w:spacing w:val="-3"/>
          <w:u w:val="single"/>
        </w:rPr>
      </w:pPr>
      <w:r>
        <w:rPr>
          <w:b/>
          <w:spacing w:val="-3"/>
          <w:u w:val="single"/>
        </w:rPr>
      </w:r>
    </w:p>
    <w:p>
      <w:pPr>
        <w:pStyle w:val="Heading9"/>
        <w:ind w:hanging="0" w:start="0"/>
        <w:rPr>
          <w:b w:val="false"/>
          <w:bCs w:val="false"/>
          <w:shadow w:val="false"/>
          <w:u w:val="single"/>
        </w:rPr>
      </w:pPr>
      <w:r>
        <w:rPr>
          <w:b w:val="false"/>
          <w:bCs w:val="false"/>
          <w:shadow w:val="false"/>
        </w:rPr>
        <w:t>None</w:t>
      </w:r>
    </w:p>
    <w:p>
      <w:pPr>
        <w:pStyle w:val="Heading6"/>
        <w:tabs>
          <w:tab w:val="clear" w:pos="2160"/>
          <w:tab w:val="clear" w:pos="6480"/>
          <w:tab w:val="left" w:pos="1440" w:leader="none"/>
          <w:tab w:val="left" w:pos="5760" w:leader="none"/>
        </w:tabs>
        <w:ind w:hanging="0" w:start="0"/>
        <w:rPr>
          <w:b w:val="false"/>
          <w:bCs/>
          <w:shadow/>
          <w:u w:val="single"/>
        </w:rPr>
      </w:pPr>
      <w:r>
        <w:rPr>
          <w:b w:val="false"/>
          <w:bCs/>
          <w:shadow/>
          <w:u w:val="single"/>
        </w:rPr>
      </w:r>
    </w:p>
    <w:p>
      <w:pPr>
        <w:pStyle w:val="Heading6"/>
        <w:tabs>
          <w:tab w:val="clear" w:pos="2160"/>
          <w:tab w:val="clear" w:pos="6480"/>
          <w:tab w:val="left" w:pos="1440" w:leader="none"/>
          <w:tab w:val="left" w:pos="5760" w:leader="none"/>
        </w:tabs>
        <w:ind w:hanging="0" w:start="0"/>
        <w:rPr/>
      </w:pPr>
      <w:r>
        <w:rPr/>
        <w:t>EOTT ENERGY</w:t>
      </w:r>
    </w:p>
    <w:p>
      <w:pPr>
        <w:pStyle w:val="Normal"/>
        <w:tabs>
          <w:tab w:val="clear" w:pos="720"/>
          <w:tab w:val="left" w:pos="1440" w:leader="none"/>
          <w:tab w:val="left" w:pos="5760" w:leader="none"/>
        </w:tabs>
        <w:jc w:val="both"/>
        <w:rPr>
          <w:b/>
          <w:spacing w:val="-3"/>
        </w:rPr>
      </w:pPr>
      <w:r>
        <w:rPr>
          <w:b/>
          <w:spacing w:val="-3"/>
        </w:rPr>
      </w:r>
    </w:p>
    <w:p>
      <w:pPr>
        <w:pStyle w:val="Normal"/>
        <w:tabs>
          <w:tab w:val="clear" w:pos="720"/>
          <w:tab w:val="left" w:pos="2160" w:leader="none"/>
          <w:tab w:val="left" w:pos="6480" w:leader="none"/>
        </w:tabs>
        <w:jc w:val="center"/>
        <w:rPr>
          <w:spacing w:val="-3"/>
        </w:rPr>
      </w:pPr>
      <w:r>
        <w:rPr>
          <w:spacing w:val="-3"/>
        </w:rPr>
        <w:t>None</w:t>
      </w:r>
    </w:p>
    <w:p>
      <w:pPr>
        <w:pStyle w:val="Normal"/>
        <w:tabs>
          <w:tab w:val="clear" w:pos="720"/>
          <w:tab w:val="left" w:pos="2160" w:leader="none"/>
          <w:tab w:val="left" w:pos="6480" w:leader="none"/>
        </w:tabs>
        <w:jc w:val="both"/>
        <w:rPr>
          <w:spacing w:val="-3"/>
        </w:rPr>
      </w:pPr>
      <w:r>
        <w:rPr>
          <w:spacing w:val="-3"/>
        </w:rPr>
      </w:r>
      <w:r>
        <w:br w:type="page"/>
      </w:r>
    </w:p>
    <w:p>
      <w:pPr>
        <w:pStyle w:val="Heading6"/>
        <w:tabs>
          <w:tab w:val="clear" w:pos="2160"/>
          <w:tab w:val="clear" w:pos="6480"/>
        </w:tabs>
        <w:ind w:hanging="0" w:start="0"/>
        <w:rPr/>
      </w:pPr>
      <w:r>
        <w:rPr/>
        <w:t>NORTHERN PLAINS NATURAL GAS COMPANY</w:t>
      </w:r>
    </w:p>
    <w:p>
      <w:pPr>
        <w:pStyle w:val="BodyText"/>
        <w:tabs>
          <w:tab w:val="clear" w:pos="9360"/>
        </w:tabs>
        <w:rPr>
          <w:b/>
          <w:bCs/>
        </w:rPr>
      </w:pPr>
      <w:r>
        <w:rPr>
          <w:b/>
          <w:bCs/>
        </w:rPr>
      </w:r>
    </w:p>
    <w:p>
      <w:pPr>
        <w:pStyle w:val="BodyText"/>
        <w:rPr>
          <w:b/>
          <w:bCs/>
          <w:i/>
          <w:i/>
          <w:iCs/>
        </w:rPr>
      </w:pPr>
      <w:r>
        <w:rPr>
          <w:b/>
          <w:bCs/>
          <w:i/>
          <w:iCs/>
        </w:rPr>
        <w:t>Lyla Law v. Northern Plains Natural Gas Company</w:t>
        <w:tab/>
        <w:t>[NO UPDATE]</w:t>
      </w:r>
    </w:p>
    <w:p>
      <w:pPr>
        <w:pStyle w:val="BodyText"/>
        <w:tabs>
          <w:tab w:val="clear" w:pos="9360"/>
        </w:tabs>
        <w:rPr/>
      </w:pPr>
      <w:r>
        <w:rPr/>
        <w:t>(Montana federal court) (Vote) (Steven Lehman, Crowley, Haughey, Hanson, Took &amp; Dietrich, P.L.L.P—local counsel)</w:t>
      </w:r>
    </w:p>
    <w:p>
      <w:pPr>
        <w:pStyle w:val="BodyText"/>
        <w:numPr>
          <w:ilvl w:val="0"/>
          <w:numId w:val="14"/>
        </w:numPr>
        <w:tabs>
          <w:tab w:val="clear" w:pos="9360"/>
        </w:tabs>
        <w:ind w:hanging="360" w:start="360" w:end="0"/>
        <w:rPr/>
      </w:pPr>
      <w:r>
        <w:rPr/>
        <w:t>Plaintiff alleges wrongful termination in retaliation for asserting sexual harassment claim</w:t>
      </w:r>
    </w:p>
    <w:p>
      <w:pPr>
        <w:pStyle w:val="BodyText"/>
        <w:numPr>
          <w:ilvl w:val="0"/>
          <w:numId w:val="14"/>
        </w:numPr>
        <w:tabs>
          <w:tab w:val="clear" w:pos="9360"/>
        </w:tabs>
        <w:ind w:hanging="360" w:start="360" w:end="0"/>
        <w:rPr/>
      </w:pPr>
      <w:r>
        <w:rPr/>
        <w:t>Plaintiff seeks past and future lost wages and benefits, tort damages, and costs and fees</w:t>
      </w:r>
    </w:p>
    <w:p>
      <w:pPr>
        <w:pStyle w:val="BodyText"/>
        <w:numPr>
          <w:ilvl w:val="0"/>
          <w:numId w:val="14"/>
        </w:numPr>
        <w:tabs>
          <w:tab w:val="clear" w:pos="9360"/>
        </w:tabs>
        <w:ind w:hanging="360" w:start="360" w:end="0"/>
        <w:rPr/>
      </w:pPr>
      <w:r>
        <w:rPr/>
        <w:t>Removed to federal court September 18, 2000</w:t>
      </w:r>
    </w:p>
    <w:p>
      <w:pPr>
        <w:pStyle w:val="BodyText"/>
        <w:numPr>
          <w:ilvl w:val="0"/>
          <w:numId w:val="14"/>
        </w:numPr>
        <w:tabs>
          <w:tab w:val="clear" w:pos="9360"/>
        </w:tabs>
        <w:ind w:hanging="360" w:start="360" w:end="0"/>
        <w:rPr/>
      </w:pPr>
      <w:r>
        <w:rPr/>
        <w:t>Answer filed October 9, 2000</w:t>
      </w:r>
    </w:p>
    <w:p>
      <w:pPr>
        <w:pStyle w:val="BodyText"/>
        <w:numPr>
          <w:ilvl w:val="0"/>
          <w:numId w:val="14"/>
        </w:numPr>
        <w:tabs>
          <w:tab w:val="clear" w:pos="9360"/>
        </w:tabs>
        <w:ind w:hanging="360" w:start="360" w:end="0"/>
        <w:rPr/>
      </w:pPr>
      <w:r>
        <w:rPr/>
        <w:t>Discovery ongoing</w:t>
      </w:r>
    </w:p>
    <w:p>
      <w:pPr>
        <w:pStyle w:val="BodyText"/>
        <w:numPr>
          <w:ilvl w:val="0"/>
          <w:numId w:val="14"/>
        </w:numPr>
        <w:tabs>
          <w:tab w:val="clear" w:pos="9360"/>
        </w:tabs>
        <w:ind w:hanging="360" w:start="360" w:end="0"/>
        <w:rPr/>
      </w:pPr>
      <w:r>
        <w:rPr/>
        <w:t>Preliminary pretrial conference held May 11, 2001; await docket control order</w:t>
      </w:r>
    </w:p>
    <w:p>
      <w:pPr>
        <w:pStyle w:val="Normal"/>
        <w:tabs>
          <w:tab w:val="clear" w:pos="720"/>
          <w:tab w:val="left" w:pos="2160" w:leader="none"/>
          <w:tab w:val="left" w:pos="6480" w:leader="none"/>
        </w:tabs>
        <w:jc w:val="center"/>
        <w:rPr>
          <w:spacing w:val="-3"/>
        </w:rPr>
      </w:pPr>
      <w:r>
        <w:rPr>
          <w:spacing w:val="-3"/>
        </w:rPr>
      </w:r>
    </w:p>
    <w:p>
      <w:pPr>
        <w:pStyle w:val="Heading6"/>
        <w:ind w:hanging="0" w:start="0"/>
        <w:rPr>
          <w:u w:val="none"/>
        </w:rPr>
      </w:pPr>
      <w:r>
        <w:rPr/>
        <w:t>RISK MANAGEMENT</w:t>
      </w:r>
    </w:p>
    <w:p>
      <w:pPr>
        <w:pStyle w:val="Normal"/>
        <w:jc w:val="center"/>
        <w:rPr>
          <w:spacing w:val="-3"/>
          <w:u w:val="none"/>
        </w:rPr>
      </w:pPr>
      <w:r>
        <w:rPr>
          <w:spacing w:val="-3"/>
          <w:u w:val="none"/>
        </w:rPr>
      </w:r>
    </w:p>
    <w:p>
      <w:pPr>
        <w:pStyle w:val="Heading7"/>
        <w:ind w:hanging="0" w:start="0"/>
        <w:rPr/>
      </w:pPr>
      <w:r>
        <w:rPr/>
        <w:tab/>
        <w:t>[NO UPDATE]</w:t>
      </w:r>
    </w:p>
    <w:p>
      <w:pPr>
        <w:pStyle w:val="Heading7"/>
        <w:ind w:hanging="0" w:start="0"/>
        <w:rPr/>
      </w:pPr>
      <w:r>
        <w:rPr/>
        <w:t>In re Rio Piedras District, San Juan,</w:t>
      </w:r>
      <w:r>
        <w:rPr>
          <w:i w:val="false"/>
        </w:rPr>
        <w:t xml:space="preserve"> Puerto Rico </w:t>
      </w:r>
      <w:r>
        <w:rPr/>
        <w:t>-- November 21, 1996 Explosion</w:t>
      </w:r>
    </w:p>
    <w:p>
      <w:pPr>
        <w:pStyle w:val="BodyText"/>
        <w:rPr/>
      </w:pPr>
      <w:r>
        <w:rPr/>
        <w:t>(Federal and Commonwealth Courts—San Juan, Puerto Rico) (Cheek/Grant) (Susman Godfrey—Houston; Vinson &amp; Elkins—D.C.; Bauza &amp; Davila—Puerto Rico; Rivera Tulla &amp; Ferrer—Puerto Rico; Adsuar, Muňiz et al.—Puerto Rico)</w:t>
      </w:r>
    </w:p>
    <w:p>
      <w:pPr>
        <w:pStyle w:val="Normal"/>
        <w:numPr>
          <w:ilvl w:val="0"/>
          <w:numId w:val="18"/>
        </w:numPr>
        <w:suppressAutoHyphens w:val="true"/>
        <w:jc w:val="both"/>
        <w:rPr>
          <w:spacing w:val="-3"/>
        </w:rPr>
      </w:pPr>
      <w:r>
        <w:rPr>
          <w:spacing w:val="-3"/>
        </w:rPr>
        <w:t>Investigation and defense of wrongful death, personal injury (including emotional distress), property damage, and business interruption claims and litigation related to the November 21, 1996 explosion in or around the Humberto Vidal Building</w:t>
      </w:r>
    </w:p>
    <w:p>
      <w:pPr>
        <w:pStyle w:val="Normal"/>
        <w:numPr>
          <w:ilvl w:val="0"/>
          <w:numId w:val="18"/>
        </w:numPr>
        <w:suppressAutoHyphens w:val="true"/>
        <w:jc w:val="both"/>
        <w:rPr>
          <w:spacing w:val="-3"/>
        </w:rPr>
      </w:pPr>
      <w:r>
        <w:rPr>
          <w:spacing w:val="-3"/>
        </w:rPr>
        <w:t>According to media:  33 fatalities; 80 injured</w:t>
      </w:r>
    </w:p>
    <w:p>
      <w:pPr>
        <w:pStyle w:val="Normal"/>
        <w:numPr>
          <w:ilvl w:val="0"/>
          <w:numId w:val="18"/>
        </w:numPr>
        <w:suppressAutoHyphens w:val="true"/>
        <w:jc w:val="both"/>
        <w:rPr>
          <w:spacing w:val="-3"/>
        </w:rPr>
      </w:pPr>
      <w:r>
        <w:rPr>
          <w:spacing w:val="-3"/>
        </w:rPr>
        <w:t xml:space="preserve">Over 500 suits filed in federal or local court in Puerto Rico on behalf of nearly 1,500 different plaintiffs against Enron Corp., San Juan Gas, and/or their carriers and affiliates; total alleged damages exceed </w:t>
      </w:r>
      <w:r>
        <w:rPr/>
        <w:t>$3.3</w:t>
      </w:r>
      <w:r>
        <w:rPr>
          <w:spacing w:val="-3"/>
        </w:rPr>
        <w:t xml:space="preserve"> billion; “extrajudicial claim” notices received for a number of claimants which may extend the statute of limitations</w:t>
      </w:r>
    </w:p>
    <w:p>
      <w:pPr>
        <w:pStyle w:val="Normal"/>
        <w:numPr>
          <w:ilvl w:val="0"/>
          <w:numId w:val="18"/>
        </w:numPr>
        <w:suppressAutoHyphens w:val="true"/>
        <w:jc w:val="both"/>
        <w:rPr>
          <w:spacing w:val="-3"/>
        </w:rPr>
      </w:pPr>
      <w:r>
        <w:rPr/>
        <w:t xml:space="preserve">The plaintiffs, Enron defendants and carriers and all other defendants (including PRASA, PRTC, Heath, HV and B&amp;L) and their carriers entered agreements, whereby the consolidated “liability trial” is moot and all proceedings involving such trial, including disputes relative to privileged documents, were resolved; by order entered May 9, 2000, the federal court approved the agreements and authorized payment of individual case settlements to a plaintiff-established escrow account; over </w:t>
      </w:r>
      <w:r>
        <w:rPr>
          <w:b/>
          <w:bCs/>
        </w:rPr>
        <w:t>725</w:t>
      </w:r>
      <w:r>
        <w:rPr/>
        <w:t xml:space="preserve"> individual claims have been resolved for approximately  </w:t>
      </w:r>
      <w:r>
        <w:rPr>
          <w:b/>
          <w:bCs/>
        </w:rPr>
        <w:t>$67 million</w:t>
      </w:r>
      <w:r>
        <w:rPr/>
        <w:t xml:space="preserve"> (insured)</w:t>
      </w:r>
    </w:p>
    <w:p>
      <w:pPr>
        <w:pStyle w:val="Normal"/>
        <w:numPr>
          <w:ilvl w:val="0"/>
          <w:numId w:val="18"/>
        </w:numPr>
        <w:suppressAutoHyphens w:val="true"/>
        <w:jc w:val="both"/>
        <w:rPr>
          <w:spacing w:val="-3"/>
        </w:rPr>
      </w:pPr>
      <w:r>
        <w:rPr>
          <w:spacing w:val="-3"/>
        </w:rPr>
        <w:t xml:space="preserve">By motion filed March 27, 2000, the Enron defendants moved to dismiss over 400 plaintiffs for want of federal jurisdiction regarding amount in controversy; court scheduled plaintiffs’ reply for May 30, 2000, and defendants’ response for July 30, 2000; less than 200 plaintiffs’ offered a factual response to the motion, but the PSC timely responded as to applicable law; on July 30, 2000, defendants’ reply filed; await ruling </w:t>
      </w:r>
    </w:p>
    <w:p>
      <w:pPr>
        <w:pStyle w:val="Normal"/>
        <w:numPr>
          <w:ilvl w:val="0"/>
          <w:numId w:val="18"/>
        </w:numPr>
        <w:suppressAutoHyphens w:val="true"/>
        <w:jc w:val="both"/>
        <w:rPr>
          <w:spacing w:val="-3"/>
        </w:rPr>
      </w:pPr>
      <w:r>
        <w:rPr/>
        <w:t>By orders entered June 6 and 14, 2000, the federal court dismissed approximately 185 plaintiffs for lack of prosecution; motions for reconsideration and Enron’s opposition thereto filed; await ruling</w:t>
      </w:r>
    </w:p>
    <w:p>
      <w:pPr>
        <w:pStyle w:val="Normal"/>
        <w:numPr>
          <w:ilvl w:val="0"/>
          <w:numId w:val="18"/>
        </w:numPr>
        <w:suppressAutoHyphens w:val="true"/>
        <w:jc w:val="both"/>
        <w:rPr>
          <w:spacing w:val="-3"/>
        </w:rPr>
      </w:pPr>
      <w:r>
        <w:rPr/>
        <w:t>On November 2, 2000, Superior Court approved the agreement among the parties relative to the consolidated “liability trial,” but has otherwise taken no other action on the cases pending there</w:t>
      </w:r>
      <w:r>
        <w:rPr>
          <w:spacing w:val="-3"/>
        </w:rPr>
        <w:t>; the agreed joint press statement was released November 29, 2000; $2.8 million received by San Juan Gas from other defendants toward defraying settlement costs; an additional $3.6 million remains payable</w:t>
      </w:r>
    </w:p>
    <w:p>
      <w:pPr>
        <w:pStyle w:val="Normal"/>
        <w:numPr>
          <w:ilvl w:val="0"/>
          <w:numId w:val="18"/>
        </w:numPr>
        <w:suppressAutoHyphens w:val="true"/>
        <w:jc w:val="both"/>
        <w:rPr>
          <w:b/>
          <w:bCs/>
        </w:rPr>
      </w:pPr>
      <w:r>
        <w:rPr/>
        <w:t xml:space="preserve">By order entered May 11, 2000, the federal court selected 20 “representative cases” involving 96 involving 96 plaintiffs for trials in the spring of 2001, all of the “representative cases: have been resolved; after seeking nominations of 10 “shock” cases for second round trial, the Court has selected cases (covering 19 plaintiffs) and by Order entered April 30, 2001, scheduled trials to commence on December 10, 2001, upon 2 trailing dockets; discovery cut-off of June 30, 2001 remains in effect as to all cases, </w:t>
      </w:r>
      <w:r>
        <w:rPr>
          <w:b/>
          <w:bCs/>
        </w:rPr>
        <w:t>but extension stipulations have been reached with several plaintiffs’ counsel pending further order of the court</w:t>
      </w:r>
    </w:p>
    <w:p>
      <w:pPr>
        <w:pStyle w:val="Normal"/>
        <w:numPr>
          <w:ilvl w:val="0"/>
          <w:numId w:val="18"/>
        </w:numPr>
        <w:suppressAutoHyphens w:val="true"/>
        <w:jc w:val="both"/>
        <w:rPr/>
      </w:pPr>
      <w:r>
        <w:rPr/>
        <w:t>Monthly conference cal</w:t>
      </w:r>
      <w:r>
        <w:rPr>
          <w:spacing w:val="-3"/>
        </w:rPr>
        <w:t xml:space="preserve">ls with carrier counsel ongoing; </w:t>
      </w:r>
      <w:r>
        <w:rPr/>
        <w:t xml:space="preserve">last carrier conference call held April 5, 2001; </w:t>
      </w:r>
      <w:r>
        <w:rPr>
          <w:spacing w:val="-3"/>
        </w:rPr>
        <w:t>carriers’ local counsel and Lloyd’s Houston counsel actively participate in individual settlement efforts, including settlement of the “representative cases”</w:t>
      </w:r>
    </w:p>
    <w:p>
      <w:pPr>
        <w:pStyle w:val="Normal"/>
        <w:widowControl w:val="false"/>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360" w:leader="none"/>
        </w:tabs>
        <w:suppressAutoHyphens w:val="true"/>
        <w:jc w:val="center"/>
        <w:rPr/>
      </w:pPr>
      <w:r>
        <w:rPr/>
        <w:t>____________________________</w:t>
      </w:r>
    </w:p>
    <w:p>
      <w:pPr>
        <w:pStyle w:val="Normal"/>
        <w:jc w:val="both"/>
        <w:rPr/>
      </w:pPr>
      <w:r>
        <w:rPr/>
      </w:r>
    </w:p>
    <w:p>
      <w:pPr>
        <w:pStyle w:val="Normal"/>
        <w:jc w:val="both"/>
        <w:rPr/>
      </w:pPr>
      <w:r>
        <w:rPr/>
      </w:r>
    </w:p>
    <w:p>
      <w:pPr>
        <w:pStyle w:val="Normal"/>
        <w:jc w:val="both"/>
        <w:rPr/>
      </w:pPr>
      <w:r>
        <w:rPr/>
        <w:t>CEC:ml</w:t>
      </w:r>
    </w:p>
    <w:p>
      <w:pPr>
        <w:pStyle w:val="Normal"/>
        <w:tabs>
          <w:tab w:val="left" w:pos="720" w:leader="none"/>
          <w:tab w:val="left" w:pos="7650" w:leader="none"/>
        </w:tabs>
        <w:suppressAutoHyphens w:val="true"/>
        <w:jc w:val="both"/>
        <w:rPr>
          <w:sz w:val="22"/>
        </w:rPr>
      </w:pPr>
      <w:r>
        <w:rPr>
          <w:sz w:val="22"/>
        </w:rPr>
        <w:t>cc:</w:t>
        <w:tab/>
        <w:t>(Via Email)</w:t>
      </w:r>
    </w:p>
    <w:p>
      <w:pPr>
        <w:pStyle w:val="Normal"/>
        <w:tabs>
          <w:tab w:val="left" w:pos="720" w:leader="none"/>
          <w:tab w:val="left" w:pos="5040" w:leader="none"/>
          <w:tab w:val="left" w:pos="7650" w:leader="none"/>
        </w:tabs>
        <w:jc w:val="both"/>
        <w:rPr>
          <w:sz w:val="22"/>
        </w:rPr>
      </w:pPr>
      <w:r>
        <w:rPr>
          <w:sz w:val="22"/>
        </w:rPr>
        <w:tab/>
        <w:t>Mr. David Aamodt</w:t>
      </w:r>
    </w:p>
    <w:p>
      <w:pPr>
        <w:pStyle w:val="Normal"/>
        <w:tabs>
          <w:tab w:val="left" w:pos="720" w:leader="none"/>
          <w:tab w:val="left" w:pos="5040" w:leader="none"/>
          <w:tab w:val="left" w:pos="7650" w:leader="none"/>
        </w:tabs>
        <w:jc w:val="both"/>
        <w:rPr>
          <w:sz w:val="22"/>
        </w:rPr>
      </w:pPr>
      <w:r>
        <w:rPr>
          <w:sz w:val="22"/>
        </w:rPr>
        <w:tab/>
        <w:t>Mr. John Ale</w:t>
      </w:r>
    </w:p>
    <w:p>
      <w:pPr>
        <w:pStyle w:val="Normal"/>
        <w:tabs>
          <w:tab w:val="left" w:pos="720" w:leader="none"/>
          <w:tab w:val="left" w:pos="5040" w:leader="none"/>
          <w:tab w:val="left" w:pos="7650" w:leader="none"/>
        </w:tabs>
        <w:jc w:val="both"/>
        <w:rPr>
          <w:sz w:val="22"/>
        </w:rPr>
      </w:pPr>
      <w:r>
        <w:rPr>
          <w:sz w:val="22"/>
        </w:rPr>
        <w:tab/>
        <w:t>Mr. Alvin Alexanderson</w:t>
      </w:r>
    </w:p>
    <w:p>
      <w:pPr>
        <w:pStyle w:val="Normal"/>
        <w:tabs>
          <w:tab w:val="left" w:pos="720" w:leader="none"/>
          <w:tab w:val="left" w:pos="5040" w:leader="none"/>
          <w:tab w:val="left" w:pos="7650" w:leader="none"/>
        </w:tabs>
        <w:jc w:val="both"/>
        <w:rPr>
          <w:sz w:val="22"/>
        </w:rPr>
      </w:pPr>
      <w:r>
        <w:rPr>
          <w:sz w:val="22"/>
        </w:rPr>
        <w:tab/>
        <w:t>Mr. James A. Armogida</w:t>
      </w:r>
    </w:p>
    <w:p>
      <w:pPr>
        <w:pStyle w:val="Normal"/>
        <w:tabs>
          <w:tab w:val="left" w:pos="720" w:leader="none"/>
          <w:tab w:val="left" w:pos="3960" w:leader="none"/>
          <w:tab w:val="left" w:pos="5040" w:leader="none"/>
          <w:tab w:val="left" w:pos="7650" w:leader="none"/>
        </w:tabs>
        <w:jc w:val="both"/>
        <w:rPr>
          <w:sz w:val="22"/>
        </w:rPr>
      </w:pPr>
      <w:r>
        <w:rPr>
          <w:sz w:val="22"/>
        </w:rPr>
        <w:tab/>
        <w:t>Mr. Drew Fossum</w:t>
      </w:r>
    </w:p>
    <w:p>
      <w:pPr>
        <w:pStyle w:val="Normal"/>
        <w:tabs>
          <w:tab w:val="left" w:pos="720" w:leader="none"/>
          <w:tab w:val="left" w:pos="3960" w:leader="none"/>
          <w:tab w:val="left" w:pos="5040" w:leader="none"/>
          <w:tab w:val="left" w:pos="7650" w:leader="none"/>
        </w:tabs>
        <w:jc w:val="both"/>
        <w:rPr>
          <w:sz w:val="22"/>
        </w:rPr>
      </w:pPr>
      <w:r>
        <w:rPr>
          <w:sz w:val="22"/>
        </w:rPr>
        <w:tab/>
        <w:t>Ms. Linda Guinn</w:t>
      </w:r>
    </w:p>
    <w:p>
      <w:pPr>
        <w:pStyle w:val="Normal"/>
        <w:tabs>
          <w:tab w:val="left" w:pos="720" w:leader="none"/>
          <w:tab w:val="left" w:pos="5040" w:leader="none"/>
          <w:tab w:val="left" w:pos="7650" w:leader="none"/>
        </w:tabs>
        <w:jc w:val="both"/>
        <w:rPr>
          <w:sz w:val="22"/>
        </w:rPr>
      </w:pPr>
      <w:r>
        <w:rPr>
          <w:sz w:val="22"/>
        </w:rPr>
        <w:tab/>
        <w:t>Mr. Mark E. Haedicke</w:t>
      </w:r>
    </w:p>
    <w:p>
      <w:pPr>
        <w:pStyle w:val="Normal"/>
        <w:tabs>
          <w:tab w:val="left" w:pos="720" w:leader="none"/>
          <w:tab w:val="left" w:pos="5040" w:leader="none"/>
          <w:tab w:val="left" w:pos="7650" w:leader="none"/>
        </w:tabs>
        <w:jc w:val="both"/>
        <w:rPr>
          <w:sz w:val="22"/>
        </w:rPr>
      </w:pPr>
      <w:r>
        <w:rPr>
          <w:sz w:val="22"/>
        </w:rPr>
        <w:tab/>
        <w:t>Ms. Elizabeth J. Labanowski</w:t>
      </w:r>
    </w:p>
    <w:p>
      <w:pPr>
        <w:pStyle w:val="Normal"/>
        <w:tabs>
          <w:tab w:val="left" w:pos="720" w:leader="none"/>
          <w:tab w:val="left" w:pos="5040" w:leader="none"/>
          <w:tab w:val="left" w:pos="7650" w:leader="none"/>
        </w:tabs>
        <w:jc w:val="both"/>
        <w:rPr>
          <w:sz w:val="22"/>
        </w:rPr>
      </w:pPr>
      <w:r>
        <w:rPr>
          <w:sz w:val="22"/>
        </w:rPr>
        <w:tab/>
        <w:t>Mr. Douglas Nichols</w:t>
      </w:r>
    </w:p>
    <w:p>
      <w:pPr>
        <w:pStyle w:val="Normal"/>
        <w:tabs>
          <w:tab w:val="left" w:pos="720" w:leader="none"/>
          <w:tab w:val="left" w:pos="5040" w:leader="none"/>
          <w:tab w:val="left" w:pos="7650" w:leader="none"/>
        </w:tabs>
        <w:jc w:val="both"/>
        <w:rPr>
          <w:sz w:val="22"/>
        </w:rPr>
      </w:pPr>
      <w:r>
        <w:rPr>
          <w:sz w:val="22"/>
        </w:rPr>
        <w:tab/>
        <w:t>Mr. Marc Manley</w:t>
      </w:r>
    </w:p>
    <w:p>
      <w:pPr>
        <w:pStyle w:val="Normal"/>
        <w:tabs>
          <w:tab w:val="left" w:pos="720" w:leader="none"/>
          <w:tab w:val="left" w:pos="5040" w:leader="none"/>
          <w:tab w:val="left" w:pos="7650" w:leader="none"/>
        </w:tabs>
        <w:jc w:val="both"/>
        <w:rPr>
          <w:sz w:val="22"/>
        </w:rPr>
      </w:pPr>
      <w:r>
        <w:rPr>
          <w:sz w:val="22"/>
        </w:rPr>
        <w:tab/>
        <w:t>Mr. Jordan Mintz</w:t>
      </w:r>
    </w:p>
    <w:p>
      <w:pPr>
        <w:pStyle w:val="Normal"/>
        <w:tabs>
          <w:tab w:val="left" w:pos="720" w:leader="none"/>
          <w:tab w:val="left" w:pos="5040" w:leader="none"/>
          <w:tab w:val="left" w:pos="7650" w:leader="none"/>
        </w:tabs>
        <w:jc w:val="both"/>
        <w:rPr>
          <w:sz w:val="22"/>
        </w:rPr>
      </w:pPr>
      <w:r>
        <w:rPr>
          <w:sz w:val="22"/>
        </w:rPr>
        <w:tab/>
        <w:t>Ms. Kristina M. Mordaunt</w:t>
      </w:r>
    </w:p>
    <w:p>
      <w:pPr>
        <w:pStyle w:val="Normal"/>
        <w:tabs>
          <w:tab w:val="left" w:pos="720" w:leader="none"/>
          <w:tab w:val="left" w:pos="5040" w:leader="none"/>
          <w:tab w:val="left" w:pos="7650" w:leader="none"/>
        </w:tabs>
        <w:rPr>
          <w:sz w:val="22"/>
        </w:rPr>
      </w:pPr>
      <w:r>
        <w:rPr>
          <w:sz w:val="22"/>
        </w:rPr>
        <w:tab/>
        <w:t>Ms. Janet K. Place</w:t>
      </w:r>
    </w:p>
    <w:p>
      <w:pPr>
        <w:pStyle w:val="Normal"/>
        <w:tabs>
          <w:tab w:val="left" w:pos="720" w:leader="none"/>
          <w:tab w:val="left" w:pos="5040" w:leader="none"/>
          <w:tab w:val="left" w:pos="7650" w:leader="none"/>
        </w:tabs>
        <w:jc w:val="both"/>
        <w:rPr>
          <w:sz w:val="22"/>
        </w:rPr>
      </w:pPr>
      <w:r>
        <w:rPr>
          <w:sz w:val="22"/>
        </w:rPr>
        <w:tab/>
        <w:t>Mr. Rex R. Rogers</w:t>
      </w:r>
    </w:p>
    <w:p>
      <w:pPr>
        <w:pStyle w:val="Normal"/>
        <w:tabs>
          <w:tab w:val="left" w:pos="720" w:leader="none"/>
          <w:tab w:val="left" w:pos="5040" w:leader="none"/>
          <w:tab w:val="left" w:pos="7650" w:leader="none"/>
        </w:tabs>
        <w:jc w:val="both"/>
        <w:rPr>
          <w:sz w:val="22"/>
        </w:rPr>
      </w:pPr>
      <w:r>
        <w:rPr>
          <w:sz w:val="22"/>
        </w:rPr>
        <w:tab/>
        <w:t>Ms. Molly Sample</w:t>
      </w:r>
    </w:p>
    <w:p>
      <w:pPr>
        <w:pStyle w:val="Normal"/>
        <w:tabs>
          <w:tab w:val="left" w:pos="720" w:leader="none"/>
          <w:tab w:val="left" w:pos="5040" w:leader="none"/>
          <w:tab w:val="left" w:pos="7650" w:leader="none"/>
        </w:tabs>
        <w:rPr>
          <w:sz w:val="22"/>
        </w:rPr>
      </w:pPr>
      <w:r>
        <w:rPr>
          <w:sz w:val="22"/>
        </w:rPr>
        <w:tab/>
        <w:t>Mr. Richard B. Sanders</w:t>
      </w:r>
    </w:p>
    <w:p>
      <w:pPr>
        <w:pStyle w:val="Normal"/>
        <w:tabs>
          <w:tab w:val="left" w:pos="720" w:leader="none"/>
          <w:tab w:val="left" w:pos="5040" w:leader="none"/>
          <w:tab w:val="left" w:pos="7650" w:leader="none"/>
        </w:tabs>
        <w:rPr>
          <w:sz w:val="22"/>
        </w:rPr>
      </w:pPr>
      <w:r>
        <w:rPr>
          <w:sz w:val="22"/>
        </w:rPr>
        <w:tab/>
        <w:t>Ms. Vicki Sharp</w:t>
      </w:r>
    </w:p>
    <w:p>
      <w:pPr>
        <w:pStyle w:val="Normal"/>
        <w:tabs>
          <w:tab w:val="left" w:pos="720" w:leader="none"/>
          <w:tab w:val="left" w:pos="5040" w:leader="none"/>
          <w:tab w:val="left" w:pos="7650" w:leader="none"/>
        </w:tabs>
        <w:rPr>
          <w:sz w:val="22"/>
        </w:rPr>
      </w:pPr>
      <w:r>
        <w:rPr>
          <w:sz w:val="22"/>
        </w:rPr>
        <w:tab/>
        <w:t>Mr. Stephen Wallace</w:t>
      </w:r>
    </w:p>
    <w:p>
      <w:pPr>
        <w:pStyle w:val="Normal"/>
        <w:tabs>
          <w:tab w:val="left" w:pos="720" w:leader="none"/>
          <w:tab w:val="left" w:pos="5040" w:leader="none"/>
          <w:tab w:val="left" w:pos="7650" w:leader="none"/>
        </w:tabs>
        <w:rPr>
          <w:sz w:val="22"/>
        </w:rPr>
      </w:pPr>
      <w:r>
        <w:rPr>
          <w:sz w:val="22"/>
        </w:rPr>
        <w:tab/>
        <w:t xml:space="preserve">Mr. Robert H. Walls, Jr. </w:t>
      </w:r>
    </w:p>
    <w:p>
      <w:pPr>
        <w:pStyle w:val="Normal"/>
        <w:tabs>
          <w:tab w:val="left" w:pos="720" w:leader="none"/>
          <w:tab w:val="left" w:pos="5040" w:leader="none"/>
          <w:tab w:val="left" w:pos="7650" w:leader="none"/>
        </w:tabs>
        <w:rPr>
          <w:sz w:val="22"/>
        </w:rPr>
      </w:pPr>
      <w:r>
        <w:rPr>
          <w:sz w:val="22"/>
        </w:rPr>
        <w:tab/>
        <w:t>Mr. Robert C. Williams</w:t>
      </w:r>
    </w:p>
    <w:p>
      <w:pPr>
        <w:pStyle w:val="Normal"/>
        <w:tabs>
          <w:tab w:val="left" w:pos="720" w:leader="none"/>
          <w:tab w:val="left" w:pos="5040" w:leader="none"/>
          <w:tab w:val="left" w:pos="7650" w:leader="none"/>
        </w:tabs>
        <w:rPr>
          <w:sz w:val="22"/>
        </w:rPr>
      </w:pPr>
      <w:r>
        <w:rPr>
          <w:sz w:val="22"/>
        </w:rPr>
      </w:r>
    </w:p>
    <w:p>
      <w:pPr>
        <w:pStyle w:val="Normal"/>
        <w:tabs>
          <w:tab w:val="left" w:pos="720" w:leader="none"/>
          <w:tab w:val="left" w:pos="5040" w:leader="none"/>
          <w:tab w:val="left" w:pos="7650" w:leader="none"/>
        </w:tabs>
        <w:rPr>
          <w:sz w:val="22"/>
        </w:rPr>
      </w:pPr>
      <w:r>
        <w:rPr>
          <w:sz w:val="22"/>
        </w:rPr>
      </w:r>
    </w:p>
    <w:p>
      <w:pPr>
        <w:pStyle w:val="Normal"/>
        <w:tabs>
          <w:tab w:val="left" w:pos="720" w:leader="none"/>
          <w:tab w:val="left" w:pos="5040" w:leader="none"/>
          <w:tab w:val="left" w:pos="7650" w:leader="none"/>
        </w:tabs>
        <w:rPr>
          <w:sz w:val="16"/>
        </w:rPr>
      </w:pPr>
      <w:r>
        <w:rPr>
          <w:sz w:val="16"/>
        </w:rPr>
        <w:fldChar w:fldCharType="begin"/>
      </w:r>
      <w:r>
        <w:rPr>
          <w:sz w:val="16"/>
        </w:rPr>
        <w:instrText xml:space="preserve"> FILENAME </w:instrText>
      </w:r>
      <w:r>
        <w:rPr>
          <w:sz w:val="16"/>
        </w:rPr>
        <w:fldChar w:fldCharType="separate"/>
      </w:r>
      <w:r>
        <w:rPr>
          <w:sz w:val="16"/>
        </w:rPr>
        <w:t>MJVDWKL2-2bb9d4385a60ebd94b8d62b4aa93c76f76a224562e34028069617d9c07b92d3d.DOC</w:t>
      </w:r>
      <w:r>
        <w:rPr>
          <w:sz w:val="16"/>
        </w:rPr>
        <w:fldChar w:fldCharType="end"/>
      </w:r>
    </w:p>
    <w:sectPr>
      <w:footerReference w:type="default" r:id="rId2"/>
      <w:footerReference w:type="first" r:id="rId3"/>
      <w:footnotePr>
        <w:numFmt w:val="decimal"/>
      </w:footnotePr>
      <w:type w:val="nextPage"/>
      <w:pgSz w:w="12240" w:h="15840"/>
      <w:pgMar w:left="1440" w:right="1440" w:gutter="0" w:header="0" w:top="1008"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ritannic Bold">
    <w:charset w:val="00" w:characterSet="windows-1252"/>
    <w:family w:val="swiss"/>
    <w:pitch w:val="variable"/>
  </w:font>
  <w:font w:name="CG Times (W1)">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Alleged (and NOT insured) damages or demands of $500,000, or more, or matters otherwise of particular interest to the company’s ongoing businesses or practices.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80"/>
        </w:tabs>
        <w:ind w:start="78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720"/>
        </w:tabs>
        <w:ind w:start="72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shadow/>
      <w:kern w:val="2"/>
    </w:rPr>
  </w:style>
  <w:style w:type="paragraph" w:styleId="Heading2">
    <w:name w:val="heading 2"/>
    <w:basedOn w:val="Normal"/>
    <w:next w:val="Normal"/>
    <w:qFormat/>
    <w:pPr>
      <w:keepNext w:val="true"/>
      <w:numPr>
        <w:ilvl w:val="1"/>
        <w:numId w:val="1"/>
      </w:numPr>
      <w:spacing w:before="0" w:after="120"/>
      <w:ind w:hanging="720" w:start="720" w:end="0"/>
      <w:outlineLvl w:val="1"/>
    </w:pPr>
    <w:rPr>
      <w:b/>
      <w:shadow/>
    </w:rPr>
  </w:style>
  <w:style w:type="paragraph" w:styleId="Heading3">
    <w:name w:val="heading 3"/>
    <w:basedOn w:val="Normal"/>
    <w:next w:val="Normal"/>
    <w:qFormat/>
    <w:pPr>
      <w:keepNext w:val="true"/>
      <w:numPr>
        <w:ilvl w:val="2"/>
        <w:numId w:val="1"/>
      </w:numPr>
      <w:spacing w:before="240" w:after="60"/>
      <w:outlineLvl w:val="2"/>
    </w:pPr>
    <w:rPr>
      <w:shadow/>
    </w:rPr>
  </w:style>
  <w:style w:type="paragraph" w:styleId="Heading4">
    <w:name w:val="heading 4"/>
    <w:basedOn w:val="Normal"/>
    <w:next w:val="Normal"/>
    <w:qFormat/>
    <w:pPr>
      <w:keepNext w:val="true"/>
      <w:numPr>
        <w:ilvl w:val="3"/>
        <w:numId w:val="1"/>
      </w:numPr>
      <w:spacing w:before="0" w:after="120"/>
      <w:ind w:hanging="1440" w:start="2160" w:end="0"/>
      <w:outlineLvl w:val="3"/>
    </w:pPr>
    <w:rPr>
      <w:b/>
      <w:shadow/>
    </w:rPr>
  </w:style>
  <w:style w:type="paragraph" w:styleId="Heading5">
    <w:name w:val="heading 5"/>
    <w:basedOn w:val="Normal"/>
    <w:next w:val="Normal"/>
    <w:qFormat/>
    <w:pPr>
      <w:numPr>
        <w:ilvl w:val="4"/>
        <w:numId w:val="1"/>
      </w:numPr>
      <w:spacing w:before="0" w:after="120"/>
      <w:ind w:hanging="2160" w:start="3600" w:end="0"/>
      <w:outlineLvl w:val="4"/>
    </w:pPr>
    <w:rPr>
      <w:b/>
      <w:shadow/>
    </w:rPr>
  </w:style>
  <w:style w:type="paragraph" w:styleId="Heading6">
    <w:name w:val="heading 6"/>
    <w:basedOn w:val="Normal"/>
    <w:next w:val="Normal"/>
    <w:qFormat/>
    <w:pPr>
      <w:keepNext w:val="true"/>
      <w:numPr>
        <w:ilvl w:val="5"/>
        <w:numId w:val="1"/>
      </w:numPr>
      <w:tabs>
        <w:tab w:val="clear" w:pos="720"/>
        <w:tab w:val="left" w:pos="2160" w:leader="none"/>
        <w:tab w:val="left" w:pos="6480" w:leader="none"/>
      </w:tabs>
      <w:jc w:val="center"/>
      <w:outlineLvl w:val="5"/>
    </w:pPr>
    <w:rPr>
      <w:b/>
      <w:spacing w:val="-3"/>
      <w:u w:val="single"/>
    </w:rPr>
  </w:style>
  <w:style w:type="paragraph" w:styleId="Heading7">
    <w:name w:val="heading 7"/>
    <w:basedOn w:val="Normal"/>
    <w:next w:val="Normal"/>
    <w:qFormat/>
    <w:pPr>
      <w:keepNext w:val="true"/>
      <w:numPr>
        <w:ilvl w:val="6"/>
        <w:numId w:val="1"/>
      </w:numPr>
      <w:tabs>
        <w:tab w:val="clear" w:pos="720"/>
        <w:tab w:val="right" w:pos="9360" w:leader="none"/>
      </w:tabs>
      <w:jc w:val="both"/>
      <w:outlineLvl w:val="6"/>
    </w:pPr>
    <w:rPr>
      <w:b/>
      <w:i/>
      <w:spacing w:val="-3"/>
    </w:rPr>
  </w:style>
  <w:style w:type="paragraph" w:styleId="Heading8">
    <w:name w:val="heading 8"/>
    <w:basedOn w:val="Normal"/>
    <w:next w:val="Normal"/>
    <w:qFormat/>
    <w:pPr>
      <w:keepNext w:val="true"/>
      <w:numPr>
        <w:ilvl w:val="7"/>
        <w:numId w:val="1"/>
      </w:numPr>
      <w:tabs>
        <w:tab w:val="clear" w:pos="720"/>
        <w:tab w:val="right" w:pos="9360" w:leader="none"/>
      </w:tabs>
      <w:jc w:val="both"/>
      <w:outlineLvl w:val="7"/>
    </w:pPr>
    <w:rPr>
      <w:bCs/>
      <w:i/>
      <w:shadow/>
      <w:spacing w:val="-3"/>
    </w:rPr>
  </w:style>
  <w:style w:type="paragraph" w:styleId="Heading9">
    <w:name w:val="heading 9"/>
    <w:basedOn w:val="Normal"/>
    <w:next w:val="Normal"/>
    <w:qFormat/>
    <w:pPr>
      <w:keepNext w:val="true"/>
      <w:numPr>
        <w:ilvl w:val="8"/>
        <w:numId w:val="1"/>
      </w:numPr>
      <w:tabs>
        <w:tab w:val="clear" w:pos="720"/>
        <w:tab w:val="left" w:pos="1440" w:leader="none"/>
        <w:tab w:val="left" w:pos="5760" w:leader="none"/>
      </w:tabs>
      <w:jc w:val="center"/>
      <w:outlineLvl w:val="8"/>
    </w:pPr>
    <w:rPr>
      <w:b/>
      <w:bCs/>
      <w:shadow/>
      <w:spacing w:val="-3"/>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bbi">
    <w:name w:val="bbi"/>
    <w:basedOn w:val="DefaultParagraphFont"/>
    <w:qFormat/>
    <w:rPr>
      <w:rFonts w:ascii="Britannic Bold" w:hAnsi="Britannic Bold" w:cs="Britannic Bold"/>
      <w:b/>
      <w:i/>
      <w:sz w:val="22"/>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pBdr>
        <w:bottom w:val="single" w:sz="6" w:space="1" w:color="000000"/>
      </w:pBdr>
      <w:tabs>
        <w:tab w:val="clear" w:pos="720"/>
        <w:tab w:val="left" w:pos="-1440" w:leader="none"/>
        <w:tab w:val="left" w:pos="-720" w:leader="none"/>
        <w:tab w:val="right" w:pos="9360" w:leader="none"/>
      </w:tabs>
      <w:suppressAutoHyphens w:val="true"/>
      <w:jc w:val="center"/>
    </w:pPr>
    <w:rPr>
      <w:b/>
      <w:spacing w:val="-3"/>
      <w:sz w:val="32"/>
    </w:rPr>
  </w:style>
  <w:style w:type="paragraph" w:styleId="BodyText">
    <w:name w:val="Body Text"/>
    <w:basedOn w:val="Normal"/>
    <w:pPr>
      <w:tabs>
        <w:tab w:val="clear" w:pos="720"/>
        <w:tab w:val="right" w:pos="9360" w:leader="none"/>
      </w:tabs>
      <w:jc w:val="both"/>
    </w:pPr>
    <w:rPr>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2">
    <w:name w:val="toc 2"/>
    <w:basedOn w:val="Normal"/>
    <w:next w:val="Normal"/>
    <w:pPr>
      <w:tabs>
        <w:tab w:val="clear" w:pos="720"/>
        <w:tab w:val="right" w:pos="9360" w:leader="none"/>
      </w:tabs>
      <w:spacing w:before="0" w:after="120"/>
      <w:ind w:hanging="720" w:start="720" w:end="0"/>
    </w:pPr>
    <w:rPr>
      <w:shadow/>
    </w:rPr>
  </w:style>
  <w:style w:type="paragraph" w:styleId="TOC1">
    <w:name w:val="toc 1"/>
    <w:basedOn w:val="Normal"/>
    <w:next w:val="Normal"/>
    <w:pPr>
      <w:tabs>
        <w:tab w:val="clear" w:pos="720"/>
        <w:tab w:val="right" w:pos="9360" w:leader="none"/>
      </w:tabs>
      <w:spacing w:before="0" w:after="120"/>
    </w:pPr>
    <w:rPr>
      <w:caps/>
      <w:shado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LeftRtIndent">
    <w:name w:val="Left/Rt Indent"/>
    <w:basedOn w:val="Normal"/>
    <w:qFormat/>
    <w:pPr>
      <w:ind w:hanging="0" w:start="720" w:end="720"/>
    </w:pPr>
    <w:rPr/>
  </w:style>
  <w:style w:type="paragraph" w:styleId="Signatures">
    <w:name w:val="Signatures"/>
    <w:basedOn w:val="Normal"/>
    <w:next w:val="Normal"/>
    <w:qFormat/>
    <w:pPr>
      <w:ind w:hanging="0" w:start="5040" w:end="0"/>
    </w:pPr>
    <w:rPr/>
  </w:style>
  <w:style w:type="paragraph" w:styleId="Footer">
    <w:name w:val="footer"/>
    <w:basedOn w:val="Normal"/>
    <w:pPr>
      <w:tabs>
        <w:tab w:val="clear" w:pos="720"/>
        <w:tab w:val="center" w:pos="4320" w:leader="none"/>
        <w:tab w:val="right" w:pos="8640" w:leader="none"/>
      </w:tabs>
    </w:pPr>
    <w:rPr/>
  </w:style>
  <w:style w:type="paragraph" w:styleId="ReportPara">
    <w:name w:val="ReportPara"/>
    <w:basedOn w:val="Normal"/>
    <w:qFormat/>
    <w:pPr>
      <w:spacing w:before="0" w:after="120"/>
      <w:ind w:firstLine="720" w:start="0" w:end="0"/>
      <w:jc w:val="both"/>
    </w:pPr>
    <w:rPr>
      <w:sz w:val="22"/>
    </w:rPr>
  </w:style>
  <w:style w:type="paragraph" w:styleId="CaseHeading">
    <w:name w:val="CaseHeading"/>
    <w:basedOn w:val="Normal"/>
    <w:next w:val="ReportPara"/>
    <w:qFormat/>
    <w:pPr>
      <w:keepNext w:val="true"/>
      <w:tabs>
        <w:tab w:val="clear" w:pos="720"/>
        <w:tab w:val="center" w:pos="4320" w:leader="none"/>
        <w:tab w:val="right" w:pos="9360" w:leader="none"/>
      </w:tabs>
      <w:suppressAutoHyphens w:val="true"/>
    </w:pPr>
    <w:rPr>
      <w:b/>
      <w:sz w:val="22"/>
    </w:rPr>
  </w:style>
  <w:style w:type="paragraph" w:styleId="SinglePara">
    <w:name w:val="SinglePara"/>
    <w:basedOn w:val="Normal"/>
    <w:qFormat/>
    <w:pPr>
      <w:spacing w:before="0" w:after="240"/>
      <w:ind w:firstLine="720" w:start="0" w:end="0"/>
      <w:jc w:val="both"/>
    </w:pPr>
    <w:rPr/>
  </w:style>
  <w:style w:type="paragraph" w:styleId="DblSpacePara">
    <w:name w:val="DblSpacePara"/>
    <w:basedOn w:val="Normal"/>
    <w:next w:val="Normal"/>
    <w:qFormat/>
    <w:pPr>
      <w:spacing w:lineRule="auto" w:line="480" w:before="0" w:after="120"/>
      <w:ind w:firstLine="720" w:start="0" w:end="0"/>
      <w:jc w:val="both"/>
    </w:pPr>
    <w:rPr/>
  </w:style>
  <w:style w:type="paragraph" w:styleId="leftindent">
    <w:name w:val="leftindent"/>
    <w:basedOn w:val="Normal"/>
    <w:next w:val="Normal"/>
    <w:qFormat/>
    <w:pPr>
      <w:ind w:hanging="0" w:start="720" w:end="0"/>
      <w:jc w:val="both"/>
    </w:pPr>
    <w:rPr/>
  </w:style>
  <w:style w:type="paragraph" w:styleId="INDENT">
    <w:name w:val="INDENT"/>
    <w:basedOn w:val="Normal"/>
    <w:qFormat/>
    <w:pPr>
      <w:spacing w:before="0" w:after="240"/>
      <w:ind w:hanging="0" w:start="720" w:end="720"/>
    </w:pPr>
    <w:rPr/>
  </w:style>
  <w:style w:type="paragraph" w:styleId="TOC3">
    <w:name w:val="toc 3"/>
    <w:basedOn w:val="Normal"/>
    <w:next w:val="Normal"/>
    <w:pPr>
      <w:tabs>
        <w:tab w:val="clear" w:pos="720"/>
        <w:tab w:val="right" w:pos="9360" w:leader="none"/>
      </w:tabs>
      <w:spacing w:before="0" w:after="120"/>
    </w:pPr>
    <w:rPr>
      <w:shadow/>
    </w:rPr>
  </w:style>
  <w:style w:type="paragraph" w:styleId="Index1">
    <w:name w:val="index 1"/>
    <w:basedOn w:val="Normal"/>
    <w:next w:val="Normal"/>
    <w:pPr>
      <w:tabs>
        <w:tab w:val="clear" w:pos="720"/>
        <w:tab w:val="right" w:pos="9360" w:leader="dot"/>
      </w:tabs>
    </w:pPr>
    <w:rPr>
      <w:rFonts w:ascii="CG Times (W1);Times New Roman" w:hAnsi="CG Times (W1);Times New Roman" w:cs="CG Times (W1);Times New Roman"/>
      <w:b/>
      <w:sz w:val="22"/>
    </w:rPr>
  </w:style>
  <w:style w:type="paragraph" w:styleId="BB11">
    <w:name w:val="BB11"/>
    <w:basedOn w:val="Normal"/>
    <w:qFormat/>
    <w:pPr>
      <w:tabs>
        <w:tab w:val="clear" w:pos="720"/>
        <w:tab w:val="center" w:pos="4320" w:leader="none"/>
        <w:tab w:val="right" w:pos="9360" w:leader="none"/>
      </w:tabs>
      <w:suppressAutoHyphens w:val="true"/>
      <w:jc w:val="both"/>
    </w:pPr>
    <w:rPr>
      <w:rFonts w:ascii="Britannic Bold" w:hAnsi="Britannic Bold" w:cs="Britannic Bold"/>
      <w:b/>
      <w:sz w:val="22"/>
    </w:rPr>
  </w:style>
  <w:style w:type="paragraph" w:styleId="Style11">
    <w:name w:val="Style1"/>
    <w:basedOn w:val="Heading3"/>
    <w:qFormat/>
    <w:pPr>
      <w:numPr>
        <w:ilvl w:val="0"/>
        <w:numId w:val="0"/>
      </w:numPr>
      <w:spacing w:lineRule="auto" w:line="240"/>
      <w:ind w:hanging="720" w:start="1440" w:end="0"/>
      <w:outlineLvl w:val="9"/>
    </w:pPr>
    <w:rPr>
      <w:b/>
    </w:rPr>
  </w:style>
  <w:style w:type="paragraph" w:styleId="toaheading">
    <w:name w:val="toa heading"/>
    <w:basedOn w:val="Normal"/>
    <w:next w:val="Normal"/>
    <w:qFormat/>
    <w:pPr>
      <w:spacing w:before="240" w:after="120"/>
    </w:pPr>
    <w:rPr>
      <w:b/>
      <w:caps/>
    </w:rPr>
  </w:style>
  <w:style w:type="paragraph" w:styleId="TOAHeading1">
    <w:name w:val="TOA Heading1"/>
    <w:basedOn w:val="Normal"/>
    <w:next w:val="Normal"/>
    <w:qFormat/>
    <w:pPr>
      <w:spacing w:before="120" w:after="0"/>
    </w:pPr>
    <w:rPr>
      <w:b/>
    </w:rPr>
  </w:style>
  <w:style w:type="paragraph" w:styleId="TableofAuthorities">
    <w:name w:val="Table of Authorities"/>
    <w:basedOn w:val="Normal"/>
    <w:next w:val="Normal"/>
    <w:qFormat/>
    <w:pPr>
      <w:tabs>
        <w:tab w:val="clear" w:pos="720"/>
        <w:tab w:val="right" w:pos="9360" w:leader="dot"/>
      </w:tabs>
      <w:spacing w:before="0" w:after="120"/>
      <w:ind w:hanging="245" w:start="245" w:end="0"/>
    </w:pPr>
    <w:rPr>
      <w:sz w:val="20"/>
    </w:rPr>
  </w:style>
  <w:style w:type="paragraph" w:styleId="BodyTextIndent">
    <w:name w:val="Body Text Indent"/>
    <w:basedOn w:val="Normal"/>
    <w:pPr>
      <w:spacing w:before="0" w:after="120"/>
      <w:ind w:hanging="0" w:start="360" w:end="0"/>
    </w:pPr>
    <w:rPr/>
  </w:style>
  <w:style w:type="paragraph" w:styleId="Style21">
    <w:name w:val="Style 2"/>
    <w:basedOn w:val="BodyTextIndent"/>
    <w:qFormat/>
    <w:pPr>
      <w:ind w:hanging="720" w:start="720" w:end="0"/>
      <w:jc w:val="both"/>
    </w:pPr>
    <w:rPr/>
  </w:style>
  <w:style w:type="paragraph" w:styleId="EnvelopeReturn">
    <w:name w:val="envelope return"/>
    <w:basedOn w:val="Normal"/>
    <w:pPr/>
    <w:rPr>
      <w:rFonts w:cs="Arial"/>
      <w:sz w:val="20"/>
    </w:rPr>
  </w:style>
  <w:style w:type="paragraph" w:styleId="EnvelopeAddress">
    <w:name w:val="envelope address"/>
    <w:basedOn w:val="Normal"/>
    <w:pPr>
      <w:ind w:hanging="0" w:start="2880" w:end="0"/>
    </w:pPr>
    <w:rPr>
      <w:rFonts w:cs="Arial"/>
      <w:szCs w:val="24"/>
    </w:rPr>
  </w:style>
  <w:style w:type="paragraph" w:styleId="FootnoteText">
    <w:name w:val="footnote text"/>
    <w:basedOn w:val="Normal"/>
    <w:pPr/>
    <w:rPr>
      <w:sz w:val="20"/>
    </w:rPr>
  </w:style>
  <w:style w:type="paragraph" w:styleId="BodyText2">
    <w:name w:val="Body Text 2"/>
    <w:basedOn w:val="Normal"/>
    <w:qFormat/>
    <w:pPr>
      <w:widowControl w:val="false"/>
      <w:tabs>
        <w:tab w:val="clear" w:pos="720"/>
        <w:tab w:val="right" w:pos="9360" w:leader="none"/>
      </w:tabs>
      <w:suppressAutoHyphens w:val="true"/>
      <w:jc w:val="both"/>
    </w:pPr>
    <w:rPr>
      <w:sz w:val="22"/>
    </w:rPr>
  </w:style>
  <w:style w:type="paragraph" w:styleId="BodyText3">
    <w:name w:val="Body Text 3"/>
    <w:basedOn w:val="Normal"/>
    <w:qFormat/>
    <w:pPr>
      <w:jc w:val="center"/>
    </w:pPr>
    <w:rPr>
      <w:b/>
      <w:spacing w:val="-3"/>
    </w:rPr>
  </w:style>
  <w:style w:type="paragraph" w:styleId="DocumentMap">
    <w:name w:val="Document Map"/>
    <w:basedOn w:val="Normal"/>
    <w:qFormat/>
    <w:pPr>
      <w:shd w:fill="000080" w:val="clear"/>
    </w:pPr>
    <w:rPr>
      <w:rFonts w:ascii="Tahoma" w:hAnsi="Tahoma" w:cs="Tahoma"/>
    </w:rPr>
  </w:style>
  <w:style w:type="paragraph" w:styleId="TOC4">
    <w:name w:val="toc 4"/>
    <w:basedOn w:val="Normal"/>
    <w:next w:val="Normal"/>
    <w:pPr>
      <w:tabs>
        <w:tab w:val="clear" w:pos="720"/>
        <w:tab w:val="right" w:pos="9360" w:leader="none"/>
      </w:tabs>
      <w:spacing w:before="0" w:after="120"/>
      <w:ind w:hanging="1440" w:start="2160" w:end="0"/>
    </w:pPr>
    <w:rPr>
      <w:shadow/>
    </w:rPr>
  </w:style>
  <w:style w:type="paragraph" w:styleId="TOC5">
    <w:name w:val="toc 5"/>
    <w:basedOn w:val="Normal"/>
    <w:next w:val="Normal"/>
    <w:pPr>
      <w:tabs>
        <w:tab w:val="clear" w:pos="720"/>
        <w:tab w:val="right" w:pos="9360" w:leader="none"/>
      </w:tabs>
      <w:spacing w:before="0" w:after="120"/>
      <w:ind w:hanging="2160" w:start="3600" w:end="0"/>
    </w:pPr>
    <w:rPr>
      <w:shadow/>
    </w:rPr>
  </w:style>
  <w:style w:type="paragraph" w:styleId="Style22">
    <w:name w:val="Style2"/>
    <w:basedOn w:val="Normal"/>
    <w:qFormat/>
    <w:pPr>
      <w:tabs>
        <w:tab w:val="clear" w:pos="720"/>
        <w:tab w:val="left" w:pos="-720" w:leader="none"/>
      </w:tabs>
      <w:ind w:hanging="72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2000-12-15T17:43:00Z</dcterms:created>
  <dc:creator>Enron</dc:creator>
  <dc:description/>
  <dc:language>en-CA</dc:language>
  <cp:lastModifiedBy>garnold</cp:lastModifiedBy>
  <cp:lastPrinted>2001-06-01T16:26:00Z</cp:lastPrinted>
  <dcterms:modified xsi:type="dcterms:W3CDTF">2001-06-01T18:57:00Z</dcterms:modified>
  <cp:revision>122</cp:revision>
  <dc:subject>Weekly Report-Major Litigation/Claims</dc:subject>
  <dc:title>Memo to James V. Derrick, Jr.</dc:title>
</cp:coreProperties>
</file>