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Style"/>
        <w:widowControl/>
        <w:rPr>
          <w:rFonts w:ascii="Times New Roman" w:hAnsi="Times New Roman" w:cs="Times New Roman"/>
        </w:rPr>
      </w:pPr>
      <w:r>
        <w:rPr>
          <w:rFonts w:cs="Times New Roman" w:ascii="Times New Roman" w:hAnsi="Times New Roman"/>
        </w:rPr>
      </w:r>
    </w:p>
    <w:p>
      <w:pPr>
        <w:pStyle w:val="TitleStyle"/>
        <w:widowControl/>
        <w:rPr>
          <w:rFonts w:ascii="Times New Roman" w:hAnsi="Times New Roman" w:cs="Times New Roman"/>
        </w:rPr>
      </w:pPr>
      <w:r>
        <w:rPr>
          <w:rFonts w:cs="Times New Roman" w:ascii="Times New Roman" w:hAnsi="Times New Roman"/>
        </w:rPr>
      </w:r>
    </w:p>
    <w:p>
      <w:pPr>
        <w:pStyle w:val="TitleStyle"/>
        <w:widowControl/>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0pt;width:7.15pt;height:7.15pt;mso-wrap-style:none;v-text-anchor:middle">
                <v:fill r:id="rId3" o:detectmouseclick="t" type="tile" color2="black"/>
                <v:stroke color="white" weight="9360" joinstyle="round" endcap="flat"/>
                <w10:wrap type="none"/>
              </v:shape>
            </w:pict>
          </mc:Fallback>
        </mc:AlternateContent>
      </w:r>
      <w:r>
        <w:rPr>
          <w:rFonts w:cs="Times New Roman" w:ascii="Times New Roman" w:hAnsi="Times New Roman"/>
        </w:rPr>
        <w:t>UNITED STATES OF AMERICA</w:t>
      </w:r>
    </w:p>
    <w:p>
      <w:pPr>
        <w:pStyle w:val="Center"/>
        <w:widowControl/>
        <w:spacing w:lineRule="auto" w:line="240" w:before="0" w:after="0"/>
        <w:rPr>
          <w:rFonts w:ascii="Times New Roman" w:hAnsi="Times New Roman" w:cs="Times New Roman"/>
          <w:b/>
          <w:bCs/>
        </w:rPr>
      </w:pPr>
      <w:r>
        <w:rPr>
          <w:rFonts w:cs="Times New Roman" w:ascii="Times New Roman" w:hAnsi="Times New Roman"/>
          <w:b/>
          <w:bCs/>
        </w:rPr>
        <w:t>BEFORE THE</w:t>
      </w:r>
    </w:p>
    <w:p>
      <w:pPr>
        <w:pStyle w:val="Normal"/>
        <w:jc w:val="center"/>
        <w:rPr>
          <w:b/>
          <w:bCs/>
        </w:rPr>
      </w:pPr>
      <w:r>
        <w:rPr>
          <w:b/>
          <w:bCs/>
        </w:rPr>
        <w:t>FEDERAL ENERGY REGULATORY COMMISSION</w:t>
      </w:r>
    </w:p>
    <w:p>
      <w:pPr>
        <w:pStyle w:val="Normal"/>
        <w:spacing w:lineRule="auto" w:line="480"/>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4248"/>
        <w:gridCol w:w="1530"/>
        <w:gridCol w:w="3798"/>
      </w:tblGrid>
      <w:tr>
        <w:trPr/>
        <w:tc>
          <w:tcPr>
            <w:tcW w:w="4248" w:type="dxa"/>
            <w:tcBorders/>
          </w:tcPr>
          <w:p>
            <w:pPr>
              <w:pStyle w:val="Normal"/>
              <w:rPr>
                <w:b/>
                <w:bCs/>
              </w:rPr>
            </w:pPr>
            <w:r>
              <w:rPr>
                <w:b/>
                <w:bCs/>
              </w:rPr>
              <w:t>Midwest Independent Transmission System Operator, Inc.</w:t>
            </w:r>
          </w:p>
        </w:tc>
        <w:tc>
          <w:tcPr>
            <w:tcW w:w="1530" w:type="dxa"/>
            <w:tcBorders/>
          </w:tcPr>
          <w:p>
            <w:pPr>
              <w:pStyle w:val="TitleStyle"/>
              <w:widowControl/>
              <w:rPr>
                <w:rFonts w:ascii="Times New Roman" w:hAnsi="Times New Roman" w:cs="Times New Roman"/>
              </w:rPr>
            </w:pPr>
            <w:r>
              <w:rPr>
                <w:rFonts w:cs="Times New Roman" w:ascii="Times New Roman" w:hAnsi="Times New Roman"/>
              </w:rPr>
              <w:t>)</w:t>
            </w:r>
          </w:p>
          <w:p>
            <w:pPr>
              <w:pStyle w:val="TitleStyle"/>
              <w:widowControl/>
              <w:rPr>
                <w:rFonts w:ascii="Times New Roman" w:hAnsi="Times New Roman" w:cs="Times New Roman"/>
              </w:rPr>
            </w:pPr>
            <w:r>
              <w:rPr>
                <w:rFonts w:cs="Times New Roman" w:ascii="Times New Roman" w:hAnsi="Times New Roman"/>
              </w:rPr>
              <w:t>)</w:t>
            </w:r>
          </w:p>
        </w:tc>
        <w:tc>
          <w:tcPr>
            <w:tcW w:w="3798" w:type="dxa"/>
            <w:tcBorders/>
          </w:tcPr>
          <w:p>
            <w:pPr>
              <w:pStyle w:val="TitleStyle"/>
              <w:widowControl/>
              <w:rPr>
                <w:rFonts w:ascii="Times New Roman" w:hAnsi="Times New Roman" w:cs="Times New Roman"/>
              </w:rPr>
            </w:pPr>
            <w:r>
              <w:rPr>
                <w:rFonts w:cs="Times New Roman" w:ascii="Times New Roman" w:hAnsi="Times New Roman"/>
              </w:rPr>
              <w:t>Docket No. ER01-3142-000</w:t>
            </w:r>
          </w:p>
        </w:tc>
      </w:tr>
    </w:tbl>
    <w:p>
      <w:pPr>
        <w:pStyle w:val="Normal"/>
        <w:rPr/>
      </w:pPr>
      <w:r>
        <w:rPr/>
      </w:r>
    </w:p>
    <w:p>
      <w:pPr>
        <w:pStyle w:val="Normal"/>
        <w:jc w:val="center"/>
        <w:rPr/>
      </w:pPr>
      <w:r>
        <w:rPr/>
      </w:r>
    </w:p>
    <w:p>
      <w:pPr>
        <w:pStyle w:val="Normal"/>
        <w:jc w:val="center"/>
        <w:rPr>
          <w:b/>
          <w:bCs/>
        </w:rPr>
      </w:pPr>
      <w:r>
        <w:rPr>
          <w:b/>
          <w:bCs/>
        </w:rPr>
        <w:t xml:space="preserve">MOTION FOR LEAVE TO FILE PROTEST OUT OF TIME AND </w:t>
      </w:r>
    </w:p>
    <w:p>
      <w:pPr>
        <w:pStyle w:val="Normal"/>
        <w:jc w:val="center"/>
        <w:rPr>
          <w:b/>
          <w:bCs/>
        </w:rPr>
      </w:pPr>
      <w:r>
        <w:rPr>
          <w:b/>
          <w:bCs/>
        </w:rPr>
        <w:t xml:space="preserve">PROTEST OF </w:t>
      </w:r>
    </w:p>
    <w:p>
      <w:pPr>
        <w:pStyle w:val="Normal"/>
        <w:jc w:val="center"/>
        <w:rPr>
          <w:b/>
          <w:bCs/>
        </w:rPr>
      </w:pPr>
      <w:r>
        <w:rPr>
          <w:b/>
          <w:bCs/>
        </w:rPr>
        <w:t xml:space="preserve">INTERVENOR ENRON POWER MARKETING, INC. </w:t>
      </w:r>
    </w:p>
    <w:p>
      <w:pPr>
        <w:pStyle w:val="Normal"/>
        <w:jc w:val="both"/>
        <w:rPr>
          <w:b/>
          <w:bCs/>
        </w:rPr>
      </w:pPr>
      <w:r>
        <w:rPr>
          <w:b/>
          <w:bCs/>
        </w:rPr>
      </w:r>
    </w:p>
    <w:p>
      <w:pPr>
        <w:pStyle w:val="BodyTextIndent"/>
        <w:rPr/>
      </w:pPr>
      <w:r>
        <w:rPr/>
        <w:t xml:space="preserve">Pursuant to 18 C.F.R. § 385.211 (2000) and the Commission's October 2, 2001 Notice of Filing, Enron Power Marketing, Inc. ("EPMI") hereby files this protest in the above-captioned docket, and states as follows:  </w:t>
      </w:r>
    </w:p>
    <w:p>
      <w:pPr>
        <w:pStyle w:val="TitleStyle"/>
        <w:widowControl/>
        <w:tabs>
          <w:tab w:val="clear" w:pos="720"/>
          <w:tab w:val="center" w:pos="4680" w:leader="none"/>
        </w:tabs>
        <w:rPr>
          <w:rFonts w:ascii="Times New Roman" w:hAnsi="Times New Roman" w:cs="Times New Roman"/>
          <w:bCs/>
          <w:caps w:val="false"/>
          <w:smallCaps w:val="false"/>
          <w:szCs w:val="24"/>
        </w:rPr>
      </w:pPr>
      <w:r>
        <w:rPr>
          <w:rFonts w:cs="Times New Roman" w:ascii="Times New Roman" w:hAnsi="Times New Roman"/>
          <w:bCs/>
          <w:caps w:val="false"/>
          <w:smallCaps w:val="false"/>
          <w:szCs w:val="24"/>
        </w:rPr>
        <w:t>I.</w:t>
      </w:r>
    </w:p>
    <w:p>
      <w:pPr>
        <w:pStyle w:val="Heading1"/>
        <w:spacing w:lineRule="auto" w:line="240"/>
        <w:ind w:hanging="0" w:start="0"/>
        <w:rPr/>
      </w:pPr>
      <w:r>
        <w:rPr/>
        <w:t>BACKGROUND</w:t>
      </w:r>
    </w:p>
    <w:p>
      <w:pPr>
        <w:pStyle w:val="Normal"/>
        <w:rPr/>
      </w:pPr>
      <w:r>
        <w:rPr/>
      </w:r>
    </w:p>
    <w:p>
      <w:pPr>
        <w:pStyle w:val="BodyText"/>
        <w:tabs>
          <w:tab w:val="clear" w:pos="720"/>
        </w:tabs>
        <w:rPr>
          <w:i/>
          <w:i/>
          <w:iCs/>
        </w:rPr>
      </w:pPr>
      <w:r>
        <w:rPr/>
        <w:t xml:space="preserve">On September 28, 2001, MISO tendered for filing revisions to its Open Access Transmission Tariff (OATT), for which it seeks an effective date of November 27, 2001.  The proposed revisions include a penalty for overscheduling non-firm point-to-point transmission service, a requirement that customers submit all schedules electronically, and modifications to scheduling practices.  </w:t>
      </w:r>
    </w:p>
    <w:p>
      <w:pPr>
        <w:pStyle w:val="BodyText"/>
        <w:tabs>
          <w:tab w:val="left" w:pos="720" w:leader="none"/>
          <w:tab w:val="center" w:pos="4320" w:leader="none"/>
        </w:tabs>
        <w:spacing w:lineRule="auto" w:line="240"/>
        <w:jc w:val="center"/>
        <w:rPr>
          <w:i/>
          <w:i/>
          <w:iCs/>
        </w:rPr>
      </w:pPr>
      <w:r>
        <w:rPr>
          <w:i/>
          <w:iCs/>
        </w:rPr>
      </w:r>
    </w:p>
    <w:p>
      <w:pPr>
        <w:pStyle w:val="BodyText"/>
        <w:tabs>
          <w:tab w:val="left" w:pos="720" w:leader="none"/>
          <w:tab w:val="center" w:pos="4320" w:leader="none"/>
        </w:tabs>
        <w:spacing w:lineRule="auto" w:line="240"/>
        <w:jc w:val="center"/>
        <w:rPr>
          <w:b/>
          <w:bCs/>
        </w:rPr>
      </w:pPr>
      <w:r>
        <w:rPr>
          <w:b/>
          <w:bCs/>
        </w:rPr>
        <w:t>II.</w:t>
      </w:r>
    </w:p>
    <w:p>
      <w:pPr>
        <w:pStyle w:val="BodyText"/>
        <w:tabs>
          <w:tab w:val="left" w:pos="720" w:leader="none"/>
          <w:tab w:val="center" w:pos="4320" w:leader="none"/>
        </w:tabs>
        <w:spacing w:lineRule="auto" w:line="240"/>
        <w:jc w:val="center"/>
        <w:rPr>
          <w:b/>
          <w:bCs/>
        </w:rPr>
      </w:pPr>
      <w:r>
        <w:rPr>
          <w:b/>
          <w:bCs/>
        </w:rPr>
        <w:t>MOTION FOR LEAVE TO FILE PROTEST OUT OF TIME</w:t>
      </w:r>
    </w:p>
    <w:p>
      <w:pPr>
        <w:pStyle w:val="BodyText"/>
        <w:tabs>
          <w:tab w:val="left" w:pos="720" w:leader="none"/>
          <w:tab w:val="center" w:pos="4320" w:leader="none"/>
        </w:tabs>
        <w:spacing w:lineRule="auto" w:line="240"/>
        <w:jc w:val="center"/>
        <w:rPr>
          <w:b/>
          <w:bCs/>
        </w:rPr>
      </w:pPr>
      <w:r>
        <w:rPr>
          <w:b/>
          <w:bCs/>
        </w:rPr>
      </w:r>
    </w:p>
    <w:p>
      <w:pPr>
        <w:pStyle w:val="BodyText"/>
        <w:tabs>
          <w:tab w:val="left" w:pos="720" w:leader="none"/>
          <w:tab w:val="center" w:pos="4320" w:leader="none"/>
        </w:tabs>
        <w:rPr/>
      </w:pPr>
      <w:r>
        <w:rPr/>
        <w:tab/>
        <w:t>EPMI respectfully requests that it be allowed to file its protest out of time.  EPMI filed a timely motion to intervene.  MISO has made five separate tariff filings within the past three weeks, creating a considerable burden on affected parties to read and respond to nearly 700 pages of text.</w:t>
      </w:r>
      <w:r>
        <w:rPr>
          <w:rStyle w:val="FootnoteReference"/>
          <w:vertAlign w:val="superscript"/>
        </w:rPr>
        <w:footnoteReference w:id="2"/>
      </w:r>
      <w:r>
        <w:rPr/>
        <w:t xml:space="preserve">  Allowing EPMI to file its protest one business day out of time will cause no prejudice to, or additional burdens upon, the existing parties, nor will it delay resolution of these proceedings.  Therefore, good cause exists for the Commission to allow the filing of this protest.</w:t>
      </w:r>
    </w:p>
    <w:p>
      <w:pPr>
        <w:pStyle w:val="TitleStyle"/>
        <w:widowControl/>
        <w:rPr>
          <w:rFonts w:ascii="Times New Roman" w:hAnsi="Times New Roman" w:cs="Times New Roman"/>
          <w:bCs/>
          <w:caps w:val="false"/>
          <w:smallCaps w:val="false"/>
          <w:szCs w:val="24"/>
        </w:rPr>
      </w:pPr>
      <w:r>
        <w:rPr>
          <w:rFonts w:cs="Times New Roman" w:ascii="Times New Roman" w:hAnsi="Times New Roman"/>
          <w:bCs/>
          <w:caps w:val="false"/>
          <w:smallCaps w:val="false"/>
          <w:szCs w:val="24"/>
        </w:rPr>
        <w:t>III.</w:t>
      </w:r>
    </w:p>
    <w:p>
      <w:pPr>
        <w:pStyle w:val="Heading3"/>
        <w:ind w:hanging="0" w:start="0"/>
        <w:rPr/>
      </w:pPr>
      <w:r>
        <w:rPr/>
        <w:t>PROTEST</w:t>
      </w:r>
    </w:p>
    <w:p>
      <w:pPr>
        <w:pStyle w:val="Normal"/>
        <w:rPr/>
      </w:pPr>
      <w:r>
        <w:rPr/>
      </w:r>
    </w:p>
    <w:p>
      <w:pPr>
        <w:pStyle w:val="BodyTextIndent"/>
        <w:rPr/>
      </w:pPr>
      <w:r>
        <w:rPr/>
        <w:t xml:space="preserve">EPMI requests that the Commission initiate a proceeding for the formation of one Midwestern RTO, and that it defer consideration of MISO's requested tariff amendments until such a proceeding is under way.  Should Commission decide to rule on MISO's tariff amendments outside of a Midwestern RTO proceeding, EPMI requests that 1) the Commission delay the due date for interventions and comments until MISO has made all of the tariff filings it has proposed to make and 2) the Commission defer any ruling on such tariff filings until RTO formation in the Midwest, particularly with regard to congestion management, has progressed far enough to allow the participants to evaluate the full impact of MISO's proposed OATT changes in the context of the formation of a Midwestern RTO. </w:t>
      </w:r>
    </w:p>
    <w:p>
      <w:pPr>
        <w:pStyle w:val="Normal"/>
        <w:rPr/>
      </w:pPr>
      <w:r>
        <w:rPr/>
      </w:r>
    </w:p>
    <w:p>
      <w:pPr>
        <w:pStyle w:val="BodyText2"/>
        <w:rPr/>
      </w:pPr>
      <w:r>
        <w:rPr/>
        <w:t>A.  The Commission should delay the protest deadline and review of any new OATT revisions by MISO.</w:t>
      </w:r>
    </w:p>
    <w:p>
      <w:pPr>
        <w:pStyle w:val="Normal"/>
        <w:rPr/>
      </w:pPr>
      <w:r>
        <w:rPr/>
      </w:r>
    </w:p>
    <w:p>
      <w:pPr>
        <w:pStyle w:val="BodyTextIndent"/>
        <w:autoSpaceDE w:val="false"/>
        <w:rPr/>
      </w:pPr>
      <w:r>
        <w:rPr/>
        <w:t>As previously mentioned, MISO has made several tariff filings in the past few weeks, which appears to be MISO's attempt to piece together an updated OATT prior to the December 15, 2001 RTO startup date.  As EPMI has previously stated in response to other recent filings by MISO and the Alliance Companies,</w:t>
      </w:r>
      <w:r>
        <w:rPr>
          <w:vertAlign w:val="superscript"/>
        </w:rPr>
        <w:t xml:space="preserve"> </w:t>
      </w:r>
      <w:r>
        <w:rPr>
          <w:rStyle w:val="FootnoteReference"/>
          <w:vertAlign w:val="superscript"/>
        </w:rPr>
        <w:footnoteReference w:id="3"/>
      </w:r>
      <w:r>
        <w:rPr/>
        <w:t xml:space="preserve"> the Commission should provide guidance on the essential aspects of a single RTO for the Midwest, including governance, stakeholder process, congestion management and other appropriate procedures and protocols.  EPMI has asked for a collaborative process, with Commission assistance, to effect that structure.  That request is consistent with the Commission’s July 12, 2001 RTO orders, in which the Commission stated its policy to have only four RTOs in the U.S.  EPMI reiterates its request here, and urges the Commission to consider MISO's proposed OATT revisions in the context of a new proceeding to implement one Midwestern RTO.</w:t>
      </w:r>
    </w:p>
    <w:p>
      <w:pPr>
        <w:pStyle w:val="BodyTextIndent"/>
        <w:autoSpaceDE w:val="false"/>
        <w:rPr/>
      </w:pPr>
      <w:r>
        <w:rPr/>
        <w:t xml:space="preserve">If the Commission elects to consider the tariff filing outside of the context of a consolidated Midwest RTO proceeding, it should at least delay consideration of the proposed provisions until such time as a meaningful analysis can be performed on the OATT applicable to the RTO, particularly since the filings appear to include substantial revisions to the Commission's </w:t>
      </w:r>
      <w:r>
        <w:rPr>
          <w:i/>
          <w:iCs/>
        </w:rPr>
        <w:t>pro forma</w:t>
      </w:r>
      <w:r>
        <w:rPr/>
        <w:t xml:space="preserve"> tariff.  In addition to the five tariff filings it has recently made, MISO has forewarned industry participants that it plans to make at least thirteen additional filings, ten of which will involve tariff amendments, before December 15, 2001.</w:t>
      </w:r>
      <w:r>
        <w:rPr>
          <w:rStyle w:val="FootnoteCharacters"/>
          <w:rStyle w:val="FootnoteReference"/>
        </w:rPr>
        <w:footnoteReference w:id="4"/>
      </w:r>
      <w:r>
        <w:rPr/>
        <w:t xml:space="preserve">  The Commission should not rule on the flurry of tariff filings by MISO until it is satisfied that RTO formation in the Midwest has progressed sufficiently to allow meaningful consideration of an OATT applicable to the RTO.  Specifically, negotiations regarding congestion management issues are ongoing pursuant to the Settlement Agreement between MISO and Alliance.  Because certain provisions proposed by MISO in the present docket and other dockets could affect congestion management, EPMI requests that the Commission delay consideration of MISO's tariff filings until it is satisfied that the congestion management issues have been resolved.</w:t>
      </w:r>
    </w:p>
    <w:p>
      <w:pPr>
        <w:pStyle w:val="BodyTextIndent"/>
        <w:autoSpaceDE w:val="false"/>
        <w:rPr/>
      </w:pPr>
      <w:r>
        <w:rPr/>
        <w:t xml:space="preserve">Additionally, EPMI requests that the Commission delay the deadline for filing of comments in this proceeding until MISO has made all of its proposed tariff filings.   This will significantly reduce the burden on the parties involved, and will help bring order to the process of creating a workable OATT for the Midwest. </w:t>
      </w:r>
    </w:p>
    <w:p>
      <w:pPr>
        <w:pStyle w:val="BodyTextIndent"/>
        <w:autoSpaceDE w:val="false"/>
        <w:rPr/>
      </w:pPr>
      <w:r>
        <w:rPr/>
        <w:t>The Commission recently approved MISO's tariff for purposes of operation of the Midwest transmission system</w:t>
      </w:r>
      <w:r>
        <w:rPr>
          <w:i/>
          <w:iCs/>
        </w:rPr>
        <w:t>.</w:t>
      </w:r>
      <w:r>
        <w:rPr>
          <w:rStyle w:val="FootnoteCharacters"/>
          <w:rStyle w:val="FootnoteReference"/>
        </w:rPr>
        <w:footnoteReference w:id="5"/>
      </w:r>
      <w:r>
        <w:rPr/>
        <w:t xml:space="preserve">  That version of the tariff, having been reviewed by the Commission from an RTO operation standpoint, should govern operation of the system until Midwestern RTO formation has progressed to a point at which market participants and the Commission can meaningfully evaluate tariff changes requested by MISO and Alliance.</w:t>
      </w:r>
    </w:p>
    <w:p>
      <w:pPr>
        <w:pStyle w:val="Heading4"/>
        <w:spacing w:lineRule="auto" w:line="240"/>
        <w:ind w:hanging="0" w:start="0"/>
        <w:rPr/>
      </w:pPr>
      <w:r>
        <w:rPr/>
        <w:t>B.  The Commission should reject, or require MISO to revise, several of the proposed provisions.</w:t>
      </w:r>
    </w:p>
    <w:p>
      <w:pPr>
        <w:pStyle w:val="Normal"/>
        <w:rPr/>
      </w:pPr>
      <w:r>
        <w:rPr/>
      </w:r>
    </w:p>
    <w:p>
      <w:pPr>
        <w:pStyle w:val="Normal"/>
        <w:spacing w:lineRule="auto" w:line="480"/>
        <w:jc w:val="both"/>
        <w:rPr/>
      </w:pPr>
      <w:r>
        <w:rPr/>
        <w:tab/>
        <w:t>Should the Commission deny EPMI's protest with regard to the above, EPMI requests rejection or clarification of certain revisions filed by MISO as follows:</w:t>
      </w:r>
    </w:p>
    <w:p>
      <w:pPr>
        <w:pStyle w:val="Normal"/>
        <w:spacing w:lineRule="auto" w:line="480" w:before="120" w:after="0"/>
        <w:ind w:firstLine="720" w:end="0"/>
        <w:jc w:val="both"/>
        <w:rPr/>
      </w:pPr>
      <w:r>
        <w:rPr>
          <w:b/>
          <w:bCs/>
        </w:rPr>
        <w:t>1.  The proposed revisions to Attachment J should be rejected.</w:t>
      </w:r>
      <w:r>
        <w:rPr/>
        <w:t xml:space="preserve">  In its proposed revisions to Attachment J, MISO attempts to incorporate uniquely MISO-based timing deadlines that do not conform with the requirements defined in either FERC Order 638 Table 4.2 or NERC Appendix 3A1.  Such standards were developed in order to eliminate</w:t>
      </w:r>
      <w:r>
        <w:br w:type="page"/>
      </w:r>
    </w:p>
    <w:p>
      <w:pPr>
        <w:pStyle w:val="Normal"/>
        <w:spacing w:lineRule="auto" w:line="480" w:before="120" w:after="0"/>
        <w:jc w:val="both"/>
        <w:rPr/>
      </w:pPr>
      <w:r>
        <w:rPr/>
        <w:t>seams, improve efficiency, and in general facilitate the commercial functions of the marketplace.  Effectively, MISO is ignoring industry standards and replacing them with timing requirements of its own choosing, which it fails to justify.  This proposed circumvention of existing standards would serve only to perpetuate the existing patchwork of incompatible seams encountered by the marketplace today.  The Commission should reject MISO's proposed revision as inconsistent with the Commission’s stated goals for standardized markets and practices.  Since the MISO is in fact utilizing the NERC tagging system as their electronic scheduling tool, it should be required to conform to the existing NERC standards regarding tagging.</w:t>
      </w:r>
    </w:p>
    <w:p>
      <w:pPr>
        <w:pStyle w:val="Normal"/>
        <w:spacing w:lineRule="auto" w:line="480" w:before="120" w:after="0"/>
        <w:ind w:firstLine="720" w:end="0"/>
        <w:jc w:val="both"/>
        <w:rPr>
          <w:b/>
          <w:bCs/>
        </w:rPr>
      </w:pPr>
      <w:r>
        <w:rPr>
          <w:b/>
          <w:bCs/>
        </w:rPr>
        <w:t xml:space="preserve">2.  The penalties proposed by MISO are inappropriate.  </w:t>
      </w:r>
    </w:p>
    <w:p>
      <w:pPr>
        <w:pStyle w:val="BodyText"/>
        <w:tabs>
          <w:tab w:val="clear" w:pos="720"/>
        </w:tabs>
        <w:spacing w:before="120" w:after="0"/>
        <w:ind w:firstLine="720" w:end="0"/>
        <w:rPr/>
      </w:pPr>
      <w:r>
        <w:rPr/>
        <w:t xml:space="preserve">With regard to penalties for non-compliance with curtailment orders, the MISO attempts to assign financial penalties to Transmission Customers that continue the use of service when the MISO’s Transmission Loading Relief (TLR) procedures have dictated that service be halted.  However, the MISO’s proposed TLR procedures do not call for action by or even inform the Transmission Customer during the curtailment process: the action of curtailment is purely a Control Area function.  EPMI finds this transfer of financial responsibility from Control Area operators to market participants disturbing, especially when operational responsibility remains with the Control Area operator. </w:t>
      </w:r>
    </w:p>
    <w:p>
      <w:pPr>
        <w:pStyle w:val="BodyTextIndent2"/>
        <w:rPr/>
      </w:pPr>
      <w:r>
        <w:rPr/>
        <w:t xml:space="preserve">Additionally, the MISO’s penalties for transmission overuse are poorly designed because they focus more on large magnitude punishments to meet their goal, rather than sound motivational principles.  MISO proposes the following penalty in Section 13.7:  </w:t>
      </w:r>
    </w:p>
    <w:p>
      <w:pPr>
        <w:pStyle w:val="Normal"/>
        <w:autoSpaceDE w:val="false"/>
        <w:ind w:start="720" w:end="0"/>
        <w:rPr/>
      </w:pPr>
      <w:r>
        <w:rPr/>
      </w:r>
    </w:p>
    <w:p>
      <w:pPr>
        <w:pStyle w:val="Normal"/>
        <w:autoSpaceDE w:val="false"/>
        <w:ind w:start="720" w:end="0"/>
        <w:rPr/>
      </w:pPr>
      <w:r>
        <w:rPr/>
        <w:t>In the event that a Transmission Customer (including Third-Party Sales by a Transmission Owner) exceeds its non-firm capacity reservation, the Transmission Customer shall pay the following penalty: 200% of the Non-Firm Point-to-Point Transmission Service Charge for the entire length of the reserved period not to exceed one month for the amount in excess of such capacity reservation.</w:t>
      </w:r>
    </w:p>
    <w:p>
      <w:pPr>
        <w:pStyle w:val="Normal"/>
        <w:autoSpaceDE w:val="false"/>
        <w:ind w:start="720" w:end="0"/>
        <w:rPr/>
      </w:pPr>
      <w:r>
        <w:rPr/>
      </w:r>
    </w:p>
    <w:p>
      <w:pPr>
        <w:pStyle w:val="BodyTextIndent"/>
        <w:spacing w:before="120" w:after="0"/>
        <w:ind w:hanging="0" w:end="0"/>
        <w:rPr/>
      </w:pPr>
      <w:r>
        <w:rPr/>
        <w:t>MISO fails to provide any justification for imposing a 200% penalty for the entire length of the reserved period.  EMPI submits that this penalty is excessive and arbitrary.  Additionally, the proposed provision may actually provide an incentive for bad behavior.  For example, overusing transmission service by a single megawatt charges the same financial penalty as overusing transmission service by several hundred megawatts.  Similarly, an overuse on an uncontested facility is penalized in the same manner as a congested facility.  Additionally, the flat penalty does not address any difference between transmission overuses causing transmission constraints and those that do not.</w:t>
      </w:r>
    </w:p>
    <w:p>
      <w:pPr>
        <w:pStyle w:val="BodyTextStyle"/>
        <w:widowControl/>
        <w:spacing w:lineRule="auto" w:line="240"/>
        <w:ind w:hanging="0" w:end="0"/>
        <w:jc w:val="center"/>
        <w:rPr/>
      </w:pPr>
      <w:r>
        <w:rPr/>
      </w:r>
    </w:p>
    <w:p>
      <w:pPr>
        <w:pStyle w:val="BodyTextStyle"/>
        <w:widowControl/>
        <w:spacing w:lineRule="auto" w:line="240"/>
        <w:ind w:hanging="0" w:end="0"/>
        <w:jc w:val="center"/>
        <w:rPr/>
      </w:pPr>
      <w:r>
        <w:rPr/>
      </w:r>
    </w:p>
    <w:p>
      <w:pPr>
        <w:pStyle w:val="BodyTextStyle"/>
        <w:widowControl/>
        <w:spacing w:lineRule="auto" w:line="240"/>
        <w:ind w:hanging="0" w:end="0"/>
        <w:jc w:val="center"/>
        <w:rPr>
          <w:rFonts w:ascii="Times New Roman" w:hAnsi="Times New Roman" w:cs="Times New Roman"/>
          <w:b/>
          <w:bCs/>
        </w:rPr>
      </w:pPr>
      <w:r>
        <w:rPr>
          <w:rFonts w:cs="Times New Roman" w:ascii="Times New Roman" w:hAnsi="Times New Roman"/>
          <w:b/>
          <w:bCs/>
        </w:rPr>
        <w:t>IV.</w:t>
      </w:r>
    </w:p>
    <w:p>
      <w:pPr>
        <w:pStyle w:val="Heading2"/>
        <w:ind w:hanging="0" w:end="0"/>
        <w:rPr/>
      </w:pPr>
      <w:r>
        <w:rPr/>
        <w:t>CONCLUSION</w:t>
      </w:r>
    </w:p>
    <w:p>
      <w:pPr>
        <w:pStyle w:val="Normal"/>
        <w:spacing w:lineRule="atLeast" w:line="480"/>
        <w:ind w:firstLine="720" w:end="0"/>
        <w:jc w:val="both"/>
        <w:rPr/>
      </w:pPr>
      <w:r>
        <w:rPr/>
        <w:t>EPMI moves the Commission to grant its protest out of time, and requests that the Commission initiate a proceeding for the formation of one Midwestern RTO, deferring consideration of MISO's requested tariff amendments until such a proceeding is under way.  Should Commission decide to consider MISO's tariff amendments outside of a Midwestern RTO proceeding, EPMI requests that  1) the Commission delay the due date for interventions and comments until MISO has made all of  its proposed tariff filings and 2) the Commission defer its consideration of such tariff filings until RTO formation in the Midwest, particularly with  regard to  congestion management, has progressed far enough</w:t>
      </w:r>
      <w:r>
        <w:br w:type="page"/>
      </w:r>
    </w:p>
    <w:p>
      <w:pPr>
        <w:pStyle w:val="Normal"/>
        <w:spacing w:lineRule="atLeast" w:line="480"/>
        <w:jc w:val="both"/>
        <w:rPr/>
      </w:pPr>
      <w:r>
        <w:rPr/>
        <w:t xml:space="preserve">to allow the participants to evaluate the full impact of MISO's proposed OATT changes in light of the formation of a Midwestern RTO. </w:t>
      </w:r>
    </w:p>
    <w:p>
      <w:pPr>
        <w:pStyle w:val="Normal"/>
        <w:spacing w:lineRule="atLeast" w:line="480"/>
        <w:jc w:val="both"/>
        <w:rPr/>
      </w:pPr>
      <w:r>
        <w:rPr/>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spacing w:lineRule="auto" w:line="240"/>
        <w:ind w:start="3600" w:end="0"/>
        <w:rPr/>
      </w:pPr>
      <w:r>
        <w:rPr/>
        <w:t>_______________________________</w:t>
        <w:tab/>
        <w:tab/>
        <w:t>Susan Scott Lindberg</w:t>
      </w:r>
    </w:p>
    <w:p>
      <w:pPr>
        <w:pStyle w:val="Normal"/>
        <w:ind w:firstLine="3600" w:start="720" w:end="0"/>
        <w:jc w:val="both"/>
        <w:rPr/>
      </w:pPr>
      <w:r>
        <w:rPr/>
        <w:t>Director, 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tab/>
        <w:tab/>
        <w:tab/>
        <w:tab/>
        <w:tab/>
        <w:tab/>
        <w:t>susan.lindberg@enron.com</w:t>
      </w:r>
    </w:p>
    <w:p>
      <w:pPr>
        <w:pStyle w:val="Normal"/>
        <w:jc w:val="both"/>
        <w:rPr/>
      </w:pPr>
      <w:r>
        <w:rPr/>
      </w:r>
    </w:p>
    <w:p>
      <w:pPr>
        <w:pStyle w:val="Normal"/>
        <w:rPr/>
      </w:pPr>
      <w:r>
        <w:rPr/>
      </w:r>
    </w:p>
    <w:p>
      <w:pPr>
        <w:pStyle w:val="Heading1"/>
        <w:ind w:hanging="0" w:start="0"/>
        <w:rPr/>
      </w:pPr>
      <w:r>
        <w:rPr/>
        <w:t>CERTIFICATE OF SERVICE</w:t>
      </w:r>
    </w:p>
    <w:p>
      <w:pPr>
        <w:pStyle w:val="Normal"/>
        <w:spacing w:lineRule="atLeast" w:line="480"/>
        <w:rPr/>
      </w:pPr>
      <w:r>
        <w:rPr/>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tab/>
        <w:t>Dated at Houston, Texas this 19th day of  October 2001.</w:t>
      </w:r>
    </w:p>
    <w:p>
      <w:pPr>
        <w:pStyle w:val="Normal"/>
        <w:spacing w:lineRule="atLeast" w:line="480"/>
        <w:rPr/>
      </w:pPr>
      <w:r>
        <w:rPr/>
      </w:r>
    </w:p>
    <w:p>
      <w:pPr>
        <w:pStyle w:val="Normal"/>
        <w:spacing w:lineRule="atLeast" w:line="480"/>
        <w:rPr/>
      </w:pPr>
      <w:r>
        <w:rPr/>
      </w:r>
    </w:p>
    <w:p>
      <w:pPr>
        <w:pStyle w:val="Normal"/>
        <w:rPr/>
      </w:pPr>
      <w:r>
        <w:rPr/>
        <w:tab/>
        <w:tab/>
        <w:tab/>
        <w:tab/>
        <w:tab/>
        <w:tab/>
        <w:t>________________________________</w:t>
      </w:r>
    </w:p>
    <w:p>
      <w:pPr>
        <w:pStyle w:val="Normal"/>
        <w:ind w:firstLine="720" w:start="720" w:end="0"/>
        <w:rPr/>
      </w:pPr>
      <w:r>
        <w:rPr/>
        <w:tab/>
        <w:tab/>
        <w:tab/>
        <w:tab/>
        <w:t>Susan Scott Lindberg</w:t>
      </w:r>
    </w:p>
    <w:p>
      <w:pPr>
        <w:sectPr>
          <w:footnotePr>
            <w:numFmt w:val="decimal"/>
          </w:footnotePr>
          <w:type w:val="nextPage"/>
          <w:pgSz w:w="12240" w:h="15840"/>
          <w:pgMar w:left="1800" w:right="1800" w:gutter="0" w:header="0" w:top="1440" w:footer="0" w:bottom="1440"/>
          <w:pgNumType w:fmt="decimal"/>
          <w:formProt w:val="false"/>
          <w:titlePg/>
          <w:textDirection w:val="lrTb"/>
          <w:docGrid w:type="default" w:linePitch="360" w:charSpace="0"/>
        </w:sect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notePr>
            <w:numFmt w:val="decimal"/>
          </w:footnotePr>
          <w:type w:val="nextPage"/>
          <w:pgSz w:w="12240" w:h="15840"/>
          <w:pgMar w:left="1800" w:right="1800" w:gutter="0" w:header="0" w:top="1440" w:footer="0" w:bottom="1440"/>
          <w:pgNumType w:fmt="decimal"/>
          <w:formProt w:val="false"/>
          <w:titlePg/>
          <w:textDirection w:val="lrTb"/>
          <w:docGrid w:type="default" w:linePitch="360" w:charSpace="0"/>
        </w:sectPr>
        <w:pStyle w:val="Heading5"/>
        <w:ind w:hanging="0" w:start="0"/>
        <w:rPr/>
      </w:pPr>
      <w:r>
        <w:rPr/>
        <w:t>ATTACHMENT A</w:t>
      </w:r>
    </w:p>
    <w:p>
      <w:pPr>
        <w:pStyle w:val="Heading"/>
        <w:rPr/>
      </w:pPr>
      <w:r>
        <w:rPr/>
        <w:t>MIDWEST ISO FILINGS MADE AT THE FERC</w:t>
      </w:r>
    </w:p>
    <w:p>
      <w:pPr>
        <w:pStyle w:val="Normal"/>
        <w:jc w:val="center"/>
        <w:rPr>
          <w:b/>
          <w:bCs/>
        </w:rPr>
      </w:pPr>
      <w:r>
        <w:rPr>
          <w:b/>
          <w:bCs/>
        </w:rPr>
        <w:t>SINCE 09/19/01</w:t>
      </w:r>
    </w:p>
    <w:p>
      <w:pPr>
        <w:pStyle w:val="Normal"/>
        <w:jc w:val="center"/>
        <w:rPr>
          <w:b/>
          <w:bCs/>
        </w:rPr>
      </w:pPr>
      <w:r>
        <w:rPr>
          <w:b/>
          <w:bCs/>
        </w:rPr>
      </w:r>
    </w:p>
    <w:p>
      <w:pPr>
        <w:pStyle w:val="Normal"/>
        <w:rPr/>
      </w:pPr>
      <w:r>
        <w:rPr>
          <w:b/>
          <w:bCs/>
          <w:u w:val="single"/>
        </w:rPr>
        <w:t>Date Filed</w:t>
      </w:r>
      <w:r>
        <w:rPr>
          <w:b/>
          <w:bCs/>
        </w:rPr>
        <w:tab/>
        <w:tab/>
      </w:r>
      <w:r>
        <w:rPr>
          <w:b/>
          <w:bCs/>
          <w:u w:val="single"/>
        </w:rPr>
        <w:t>Docket No.</w:t>
      </w:r>
      <w:r>
        <w:rPr>
          <w:b/>
          <w:bCs/>
        </w:rPr>
        <w:tab/>
        <w:tab/>
        <w:tab/>
      </w:r>
      <w:r>
        <w:rPr>
          <w:b/>
          <w:bCs/>
          <w:u w:val="single"/>
        </w:rPr>
        <w:t>Subject Matter</w:t>
      </w:r>
    </w:p>
    <w:p>
      <w:pPr>
        <w:pStyle w:val="Normal"/>
        <w:rPr>
          <w:b/>
          <w:bCs/>
          <w:u w:val="single"/>
        </w:rPr>
      </w:pPr>
      <w:r>
        <w:rPr>
          <w:b/>
          <w:bCs/>
          <w:u w:val="single"/>
        </w:rPr>
      </w:r>
    </w:p>
    <w:p>
      <w:pPr>
        <w:pStyle w:val="Normal"/>
        <w:tabs>
          <w:tab w:val="clear" w:pos="720"/>
          <w:tab w:val="left" w:pos="2160" w:leader="none"/>
        </w:tabs>
        <w:ind w:hanging="5040" w:start="5040" w:end="0"/>
        <w:rPr/>
      </w:pPr>
      <w:r>
        <w:rPr/>
        <w:t>10/16/01</w:t>
        <w:tab/>
        <w:t>ER02-___-001</w:t>
        <w:tab/>
      </w:r>
      <w:r>
        <w:rPr>
          <w:color w:val="000000"/>
          <w:sz w:val="20"/>
          <w:szCs w:val="20"/>
        </w:rPr>
        <w:t xml:space="preserve">Midwest ISO Revises its OATT to provide (i) unbundled RTO Services for Independent Transmission Companies that join the Midwest ISO under Appendix I of the Transmission Owners Agreement; (ii) an alternative administrative cost adder for Departing Companies and their affiliates to receive credits against monies owed for transmission services provided by the Midwest ISO to the Departing Companies and their affiliates pursuant to certain provisions approved in the Settlement Agreement in </w:t>
      </w:r>
      <w:r>
        <w:rPr>
          <w:i/>
          <w:iCs/>
          <w:color w:val="000000"/>
          <w:sz w:val="20"/>
          <w:szCs w:val="20"/>
        </w:rPr>
        <w:t>Illinois Power Company, et al</w:t>
      </w:r>
      <w:r>
        <w:rPr>
          <w:color w:val="000000"/>
          <w:sz w:val="20"/>
          <w:szCs w:val="20"/>
        </w:rPr>
        <w:t>.; and (iii) a list of customers eligible to receive the Midwest ISO’s alternative administrative cost adder under Schedule 10-A.</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t>10/15/01</w:t>
        <w:tab/>
        <w:t>ER01-3142-00_</w:t>
        <w:tab/>
      </w:r>
      <w:r>
        <w:rPr>
          <w:color w:val="000000"/>
          <w:sz w:val="20"/>
          <w:szCs w:val="20"/>
        </w:rPr>
        <w:t>Midwest ISO revises certain text pages of its OATT, including Schedule 4, Attachments C, D, J, K, M, N, and P.</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ER02-103-000</w:t>
        <w:tab/>
      </w:r>
      <w:r>
        <w:rPr>
          <w:color w:val="000000"/>
          <w:sz w:val="20"/>
          <w:szCs w:val="20"/>
        </w:rPr>
        <w:t>Midwest ISO files revision to Section 17.5 of the Midwest ISO OATT regarding the response to a completed Transmission Service Request Application.</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ER98-1438-___</w:t>
        <w:tab/>
      </w:r>
      <w:r>
        <w:rPr>
          <w:color w:val="000000"/>
          <w:sz w:val="20"/>
          <w:szCs w:val="20"/>
        </w:rPr>
        <w:t>Midwest ISO files compliance filing re:  Alternative Dispute Resolution procedures pursuant to FERC directives in 84 FERC</w:t>
      </w:r>
    </w:p>
    <w:p>
      <w:pPr>
        <w:pStyle w:val="Normal"/>
        <w:tabs>
          <w:tab w:val="clear" w:pos="720"/>
          <w:tab w:val="left" w:pos="2160" w:leader="none"/>
        </w:tabs>
        <w:ind w:hanging="5040" w:start="5040" w:end="0"/>
        <w:rPr>
          <w:color w:val="000000"/>
          <w:sz w:val="20"/>
          <w:szCs w:val="20"/>
        </w:rPr>
      </w:pPr>
      <w:r>
        <w:rPr>
          <w:color w:val="000000"/>
          <w:sz w:val="20"/>
          <w:szCs w:val="20"/>
        </w:rPr>
        <w:tab/>
        <w:tab/>
        <w:t>¶ 61,231 (1998).</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ER98-1438-___</w:t>
        <w:tab/>
      </w:r>
      <w:r>
        <w:rPr>
          <w:color w:val="000000"/>
          <w:sz w:val="20"/>
          <w:szCs w:val="20"/>
        </w:rPr>
        <w:t>Midwest ISO files compliance filing re:  Market Monitoring Plan pursuant to FERC directives in 84 FERC ¶ 61,231 (1998).</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ER98-1438-___</w:t>
        <w:tab/>
      </w:r>
      <w:r>
        <w:rPr>
          <w:color w:val="000000"/>
          <w:sz w:val="20"/>
          <w:szCs w:val="20"/>
        </w:rPr>
        <w:t>Midwest ISO files compliance filing re:  Emergency and Operating procedures pursuant to FERC directives in 84 FERC ¶ 61,231 (1998).</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t>10/11/01</w:t>
        <w:tab/>
        <w:t>ER01-3142-001</w:t>
        <w:tab/>
      </w:r>
      <w:r>
        <w:rPr>
          <w:color w:val="000000"/>
          <w:sz w:val="20"/>
          <w:szCs w:val="20"/>
        </w:rPr>
        <w:t>Midwest ISO supplements its revisions to the OATT to Reflect Corrected Clean Version of Attachment Q (Accepting NERC TLR Procedures).</w:t>
      </w:r>
      <w:r>
        <w:br w:type="page"/>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rPr/>
      </w:pPr>
      <w:r>
        <w:rPr>
          <w:b/>
          <w:bCs/>
          <w:u w:val="single"/>
        </w:rPr>
        <w:t>Date Filed</w:t>
      </w:r>
      <w:r>
        <w:rPr>
          <w:b/>
          <w:bCs/>
        </w:rPr>
        <w:tab/>
        <w:tab/>
      </w:r>
      <w:r>
        <w:rPr>
          <w:b/>
          <w:bCs/>
          <w:u w:val="single"/>
        </w:rPr>
        <w:t>Docket No.</w:t>
      </w:r>
      <w:r>
        <w:rPr>
          <w:b/>
          <w:bCs/>
        </w:rPr>
        <w:tab/>
        <w:tab/>
        <w:tab/>
      </w:r>
      <w:r>
        <w:rPr>
          <w:b/>
          <w:bCs/>
          <w:u w:val="single"/>
        </w:rPr>
        <w:t>Subject Matter</w:t>
      </w:r>
    </w:p>
    <w:p>
      <w:pPr>
        <w:pStyle w:val="Normal"/>
        <w:tabs>
          <w:tab w:val="clear" w:pos="720"/>
          <w:tab w:val="left" w:pos="2160" w:leader="none"/>
        </w:tabs>
        <w:ind w:hanging="5040" w:start="5040" w:end="0"/>
        <w:rPr>
          <w:b/>
          <w:bCs/>
          <w:u w:val="single"/>
        </w:rPr>
      </w:pPr>
      <w:r>
        <w:rPr>
          <w:b/>
          <w:bCs/>
          <w:u w:val="single"/>
        </w:rPr>
      </w:r>
    </w:p>
    <w:p>
      <w:pPr>
        <w:pStyle w:val="Normal"/>
        <w:tabs>
          <w:tab w:val="clear" w:pos="720"/>
          <w:tab w:val="left" w:pos="2160" w:leader="none"/>
        </w:tabs>
        <w:ind w:hanging="5040" w:start="5040" w:end="0"/>
        <w:rPr/>
      </w:pPr>
      <w:r>
        <w:rPr/>
        <w:t>10/10/01</w:t>
        <w:tab/>
        <w:t>ER02-78-000</w:t>
        <w:tab/>
      </w:r>
      <w:r>
        <w:rPr>
          <w:rFonts w:cs="Times" w:ascii="Times" w:hAnsi="Times"/>
          <w:color w:val="000000"/>
          <w:sz w:val="20"/>
          <w:szCs w:val="20"/>
        </w:rPr>
        <w:t>Joint Filing of ATCLLC and the Midwest ISO to revise the Midwest ISO OATT with respect to Schedules 7, 8, and 9 and Attachments O and M to effect a succession of ATCLLC’s rates to the Midwest ISO OATT to be applied to transmission service in the ATCLLC zone when the Midwest ISO begins operation.</w:t>
      </w:r>
    </w:p>
    <w:p>
      <w:pPr>
        <w:pStyle w:val="Normal"/>
        <w:tabs>
          <w:tab w:val="clear" w:pos="720"/>
          <w:tab w:val="left" w:pos="2160" w:leader="none"/>
        </w:tabs>
        <w:ind w:hanging="5040" w:start="5040" w:end="0"/>
        <w:rPr>
          <w:rFonts w:ascii="Times" w:hAnsi="Times" w:cs="Times"/>
          <w:color w:val="000000"/>
          <w:sz w:val="20"/>
          <w:szCs w:val="20"/>
        </w:rPr>
      </w:pPr>
      <w:r>
        <w:rPr>
          <w:rFonts w:cs="Times" w:ascii="Times" w:hAnsi="Times"/>
          <w:color w:val="000000"/>
          <w:sz w:val="20"/>
          <w:szCs w:val="20"/>
        </w:rPr>
      </w:r>
    </w:p>
    <w:p>
      <w:pPr>
        <w:pStyle w:val="Normal"/>
        <w:rPr/>
      </w:pPr>
      <w:r>
        <w:rPr>
          <w:rFonts w:cs="Times" w:ascii="Times" w:hAnsi="Times"/>
          <w:color w:val="000000"/>
          <w:szCs w:val="20"/>
        </w:rPr>
        <w:t>10/10/01</w:t>
        <w:tab/>
        <w:tab/>
      </w:r>
      <w:r>
        <w:rPr>
          <w:bCs/>
        </w:rPr>
        <w:t>RT01-87-003</w:t>
        <w:tab/>
      </w:r>
      <w:r>
        <w:rPr>
          <w:rFonts w:cs="Times" w:ascii="Times" w:hAnsi="Times"/>
          <w:color w:val="000000"/>
          <w:szCs w:val="20"/>
        </w:rPr>
        <w:tab/>
        <w:tab/>
      </w:r>
      <w:r>
        <w:rPr>
          <w:color w:val="000000"/>
          <w:sz w:val="20"/>
          <w:szCs w:val="20"/>
        </w:rPr>
        <w:t xml:space="preserve">Midwest ISO files RTO status report with </w:t>
      </w:r>
    </w:p>
    <w:p>
      <w:pPr>
        <w:pStyle w:val="Normal"/>
        <w:ind w:firstLine="720" w:end="0"/>
        <w:rPr/>
      </w:pPr>
      <w:r>
        <w:rPr>
          <w:color w:val="000000"/>
          <w:sz w:val="20"/>
          <w:szCs w:val="20"/>
        </w:rPr>
        <w:tab/>
        <w:tab/>
      </w:r>
      <w:r>
        <w:rPr>
          <w:b/>
        </w:rPr>
        <w:tab/>
        <w:tab/>
        <w:tab/>
        <w:tab/>
      </w:r>
      <w:r>
        <w:rPr>
          <w:color w:val="000000"/>
          <w:sz w:val="20"/>
          <w:szCs w:val="20"/>
        </w:rPr>
        <w:t>the FERC.</w:t>
      </w:r>
    </w:p>
    <w:p>
      <w:pPr>
        <w:pStyle w:val="Normal"/>
        <w:tabs>
          <w:tab w:val="clear" w:pos="720"/>
          <w:tab w:val="left" w:pos="2160" w:leader="none"/>
        </w:tabs>
        <w:ind w:hanging="5040" w:start="5040" w:end="0"/>
        <w:rPr>
          <w:b/>
          <w:color w:val="000000"/>
          <w:sz w:val="20"/>
          <w:szCs w:val="20"/>
        </w:rPr>
      </w:pPr>
      <w:r>
        <w:rPr>
          <w:b/>
          <w:color w:val="000000"/>
          <w:sz w:val="20"/>
          <w:szCs w:val="20"/>
        </w:rPr>
      </w:r>
    </w:p>
    <w:p>
      <w:pPr>
        <w:pStyle w:val="Normal"/>
        <w:tabs>
          <w:tab w:val="clear" w:pos="720"/>
          <w:tab w:val="left" w:pos="2160" w:leader="none"/>
        </w:tabs>
        <w:ind w:hanging="5040" w:start="5040" w:end="0"/>
        <w:rPr>
          <w:b/>
          <w:color w:val="000000"/>
          <w:sz w:val="20"/>
          <w:szCs w:val="20"/>
        </w:rPr>
      </w:pPr>
      <w:r>
        <w:rPr>
          <w:b/>
          <w:color w:val="000000"/>
          <w:sz w:val="20"/>
          <w:szCs w:val="20"/>
        </w:rPr>
      </w:r>
    </w:p>
    <w:p>
      <w:pPr>
        <w:pStyle w:val="Normal"/>
        <w:tabs>
          <w:tab w:val="clear" w:pos="720"/>
          <w:tab w:val="left" w:pos="2160" w:leader="none"/>
        </w:tabs>
        <w:ind w:hanging="5040" w:start="5040" w:end="0"/>
        <w:rPr/>
      </w:pPr>
      <w:r>
        <w:rPr>
          <w:color w:val="000000"/>
          <w:szCs w:val="20"/>
        </w:rPr>
        <w:t>10/05/01</w:t>
        <w:tab/>
        <w:t>RM01-8-000</w:t>
        <w:tab/>
      </w:r>
      <w:r>
        <w:rPr>
          <w:color w:val="000000"/>
          <w:sz w:val="20"/>
          <w:szCs w:val="20"/>
        </w:rPr>
        <w:t>Midwest ISO files comments in NOPR re:  Electronic filing of Service Agreements supporting such proposal and offering to assist the FERC as a test case for the electronic filing of transmission service agreements.</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09/28/01</w:t>
        <w:tab/>
        <w:t>ER01-3142-000</w:t>
        <w:tab/>
      </w:r>
      <w:r>
        <w:rPr>
          <w:color w:val="000000"/>
          <w:sz w:val="20"/>
          <w:szCs w:val="20"/>
        </w:rPr>
        <w:t>Midwest ISO revises certain text pages of its OATT, including Schedules 1-3 and 5-9, Attachments A, B, F, G, J, and Q.</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09/21/01</w:t>
        <w:tab/>
        <w:t>RT01-88-006</w:t>
        <w:tab/>
      </w:r>
      <w:r>
        <w:rPr>
          <w:rFonts w:cs="Times" w:ascii="Times" w:hAnsi="Times"/>
          <w:color w:val="000000"/>
          <w:sz w:val="20"/>
          <w:szCs w:val="20"/>
        </w:rPr>
        <w:t>Midwest ISO Files its Motion to Intervene in the Alliance Companies’ proposed wholesale electric transmission rates for the Alliance RTO and the Alliance RTO Open Access Transmission Tariff.</w:t>
      </w:r>
    </w:p>
    <w:p>
      <w:pPr>
        <w:pStyle w:val="Normal"/>
        <w:tabs>
          <w:tab w:val="clear" w:pos="720"/>
          <w:tab w:val="left" w:pos="2160" w:leader="none"/>
        </w:tabs>
        <w:ind w:hanging="5040" w:start="5040" w:end="0"/>
        <w:rPr>
          <w:rFonts w:ascii="Times" w:hAnsi="Times" w:cs="Times"/>
          <w:color w:val="000000"/>
          <w:sz w:val="20"/>
          <w:szCs w:val="20"/>
        </w:rPr>
      </w:pPr>
      <w:r>
        <w:rPr>
          <w:rFonts w:cs="Times" w:ascii="Times" w:hAnsi="Times"/>
          <w:color w:val="000000"/>
          <w:sz w:val="20"/>
          <w:szCs w:val="20"/>
        </w:rPr>
      </w:r>
      <w:r>
        <w:br w:type="page"/>
      </w:r>
    </w:p>
    <w:p>
      <w:pPr>
        <w:pStyle w:val="Normal"/>
        <w:tabs>
          <w:tab w:val="clear" w:pos="720"/>
          <w:tab w:val="left" w:pos="2160" w:leader="none"/>
        </w:tabs>
        <w:ind w:hanging="5040" w:start="5040" w:end="0"/>
        <w:jc w:val="center"/>
        <w:rPr>
          <w:rFonts w:ascii="Times" w:hAnsi="Times" w:cs="Times"/>
          <w:b/>
          <w:bCs/>
          <w:color w:val="000000"/>
          <w:szCs w:val="20"/>
        </w:rPr>
      </w:pPr>
      <w:r>
        <w:rPr>
          <w:rFonts w:cs="Times" w:ascii="Times" w:hAnsi="Times"/>
          <w:b/>
          <w:bCs/>
          <w:color w:val="000000"/>
          <w:szCs w:val="20"/>
        </w:rPr>
        <w:t>FUTURE FERC FILINGS</w:t>
      </w:r>
    </w:p>
    <w:p>
      <w:pPr>
        <w:pStyle w:val="Normal"/>
        <w:tabs>
          <w:tab w:val="clear" w:pos="720"/>
          <w:tab w:val="left" w:pos="2160" w:leader="none"/>
        </w:tabs>
        <w:ind w:hanging="5040" w:start="5040" w:end="0"/>
        <w:jc w:val="center"/>
        <w:rPr>
          <w:rFonts w:ascii="Times" w:hAnsi="Times" w:cs="Times"/>
          <w:b/>
          <w:bCs/>
          <w:color w:val="000000"/>
          <w:szCs w:val="20"/>
        </w:rPr>
      </w:pPr>
      <w:r>
        <w:rPr>
          <w:rFonts w:cs="Times" w:ascii="Times" w:hAnsi="Times"/>
          <w:b/>
          <w:bCs/>
          <w:color w:val="000000"/>
          <w:szCs w:val="20"/>
        </w:rPr>
        <w:t>TO BE MADE PRIOR TO 12/15/01</w:t>
      </w:r>
    </w:p>
    <w:p>
      <w:pPr>
        <w:pStyle w:val="Normal"/>
        <w:tabs>
          <w:tab w:val="clear" w:pos="720"/>
          <w:tab w:val="left" w:pos="2160" w:leader="none"/>
        </w:tabs>
        <w:ind w:hanging="5040" w:start="5040" w:end="0"/>
        <w:jc w:val="center"/>
        <w:rPr>
          <w:rFonts w:ascii="Times" w:hAnsi="Times" w:cs="Times"/>
          <w:b/>
          <w:bCs/>
          <w:color w:val="000000"/>
          <w:szCs w:val="20"/>
        </w:rPr>
      </w:pPr>
      <w:r>
        <w:rPr>
          <w:rFonts w:cs="Times" w:ascii="Times" w:hAnsi="Times"/>
          <w:b/>
          <w:bCs/>
          <w:color w:val="000000"/>
          <w:szCs w:val="20"/>
        </w:rPr>
      </w:r>
    </w:p>
    <w:p>
      <w:pPr>
        <w:pStyle w:val="Normal"/>
        <w:numPr>
          <w:ilvl w:val="0"/>
          <w:numId w:val="3"/>
        </w:numPr>
        <w:tabs>
          <w:tab w:val="clear" w:pos="720"/>
          <w:tab w:val="left" w:pos="2160" w:leader="none"/>
        </w:tabs>
        <w:rPr/>
      </w:pPr>
      <w:r>
        <w:rPr/>
        <w:t>File Manitoba Hydro Coordination Agreement.</w:t>
      </w:r>
    </w:p>
    <w:p>
      <w:pPr>
        <w:pStyle w:val="Normal"/>
        <w:tabs>
          <w:tab w:val="clear" w:pos="720"/>
          <w:tab w:val="left" w:pos="2160" w:leader="none"/>
        </w:tabs>
        <w:ind w:start="360" w:end="0"/>
        <w:rPr/>
      </w:pPr>
      <w:r>
        <w:rPr/>
      </w:r>
    </w:p>
    <w:p>
      <w:pPr>
        <w:pStyle w:val="Normal"/>
        <w:numPr>
          <w:ilvl w:val="0"/>
          <w:numId w:val="3"/>
        </w:numPr>
        <w:tabs>
          <w:tab w:val="clear" w:pos="720"/>
          <w:tab w:val="left" w:pos="2160" w:leader="none"/>
        </w:tabs>
        <w:rPr/>
      </w:pPr>
      <w:r>
        <w:rPr/>
        <w:t>Update Index of Transmission Customers (Attachments E and H of OATT).</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form of Operating Protocol or Agreement for Existing Generators.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executed or unexecuted operating agreements for existing generators, if applicable.</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or assist with filing notices of cancellation of Member OATT Schedules 1, 4, 7, 8, and 9.</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Compliance filing of procedures for network resources outside the Midwest ISO pursuant to Section 30.8 of the OATT.</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PJM/ARTO/MISO joint rate by 11/15/01.</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DTE/ITC incentive rate by 11/15/01.</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general incentive rate filing by 11/15/01.</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executed or unexecuted transmission service agreements.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comments in Docket No. RM01-11-000 on or before November 2, 2001 re:  Electronic Service of Documents.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comments in Docket No. RM01-10-000 on or before November 19, 2001 re:  Standards of Conduct for Transmission Providers.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Request for Clarification on Opinion No. 453 (issued October 11, 2001) by November 12, 2001.</w:t>
      </w:r>
    </w:p>
    <w:p>
      <w:pPr>
        <w:pStyle w:val="Normal"/>
        <w:tabs>
          <w:tab w:val="clear" w:pos="720"/>
          <w:tab w:val="left" w:pos="2160" w:leader="none"/>
        </w:tabs>
        <w:rPr/>
      </w:pPr>
      <w:r>
        <w:rPr/>
      </w:r>
    </w:p>
    <w:p>
      <w:pPr>
        <w:pStyle w:val="Normal"/>
        <w:tabs>
          <w:tab w:val="clear" w:pos="720"/>
          <w:tab w:val="left" w:pos="2160" w:leader="none"/>
        </w:tabs>
        <w:rPr/>
      </w:pPr>
      <w:r>
        <w:rPr/>
      </w:r>
    </w:p>
    <w:p>
      <w:pPr>
        <w:pStyle w:val="Heading1"/>
        <w:ind w:hanging="0" w:start="0"/>
        <w:rPr/>
      </w:pPr>
      <w:r>
        <w:rPr/>
        <w:t>OTHER REQUIREMENTS</w:t>
      </w:r>
    </w:p>
    <w:p>
      <w:pPr>
        <w:pStyle w:val="Normal"/>
        <w:tabs>
          <w:tab w:val="clear" w:pos="720"/>
          <w:tab w:val="left" w:pos="2160" w:leader="none"/>
        </w:tabs>
        <w:jc w:val="center"/>
        <w:rPr>
          <w:b/>
          <w:bCs/>
        </w:rPr>
      </w:pPr>
      <w:r>
        <w:rPr>
          <w:b/>
          <w:bCs/>
        </w:rPr>
      </w:r>
    </w:p>
    <w:p>
      <w:pPr>
        <w:pStyle w:val="Normal"/>
        <w:numPr>
          <w:ilvl w:val="0"/>
          <w:numId w:val="2"/>
        </w:numPr>
        <w:tabs>
          <w:tab w:val="clear" w:pos="720"/>
          <w:tab w:val="left" w:pos="2160" w:leader="none"/>
        </w:tabs>
        <w:rPr>
          <w:b/>
          <w:bCs/>
        </w:rPr>
      </w:pPr>
      <w:r>
        <w:rPr/>
        <w:t>Post list of transferred facilities on OASIS by 12/15/01.</w:t>
      </w:r>
    </w:p>
    <w:p>
      <w:pPr>
        <w:pStyle w:val="Normal"/>
        <w:tabs>
          <w:tab w:val="clear" w:pos="720"/>
          <w:tab w:val="left" w:pos="2160" w:leader="none"/>
        </w:tabs>
        <w:ind w:start="360" w:end="0"/>
        <w:rPr>
          <w:b/>
          <w:bCs/>
        </w:rPr>
      </w:pPr>
      <w:r>
        <w:rPr>
          <w:b/>
          <w:bCs/>
        </w:rPr>
      </w:r>
    </w:p>
    <w:p>
      <w:pPr>
        <w:pStyle w:val="Normal"/>
        <w:numPr>
          <w:ilvl w:val="0"/>
          <w:numId w:val="2"/>
        </w:numPr>
        <w:tabs>
          <w:tab w:val="clear" w:pos="720"/>
          <w:tab w:val="left" w:pos="2160" w:leader="none"/>
        </w:tabs>
        <w:rPr>
          <w:b/>
          <w:bCs/>
        </w:rPr>
      </w:pPr>
      <w:r>
        <w:rPr/>
        <w:t>Post long-term congestion management protocol on website by 12/31/01.</w:t>
      </w:r>
    </w:p>
    <w:p>
      <w:pPr>
        <w:pStyle w:val="Normal"/>
        <w:tabs>
          <w:tab w:val="clear" w:pos="720"/>
          <w:tab w:val="left" w:pos="2160" w:leader="none"/>
        </w:tabs>
        <w:rPr>
          <w:b/>
          <w:bCs/>
        </w:rPr>
      </w:pPr>
      <w:r>
        <w:rPr>
          <w:b/>
          <w:bCs/>
        </w:rPr>
      </w:r>
    </w:p>
    <w:p>
      <w:pPr>
        <w:pStyle w:val="Normal"/>
        <w:numPr>
          <w:ilvl w:val="0"/>
          <w:numId w:val="2"/>
        </w:numPr>
        <w:tabs>
          <w:tab w:val="clear" w:pos="720"/>
          <w:tab w:val="left" w:pos="2160" w:leader="none"/>
        </w:tabs>
        <w:rPr>
          <w:b/>
          <w:bCs/>
        </w:rPr>
      </w:pPr>
      <w:r>
        <w:rPr/>
        <w:t>Draft pricing policy for parallel path resolution.</w:t>
      </w:r>
    </w:p>
    <w:p>
      <w:pPr>
        <w:pStyle w:val="Normal"/>
        <w:tabs>
          <w:tab w:val="clear" w:pos="720"/>
          <w:tab w:val="left" w:pos="2160" w:leader="none"/>
        </w:tabs>
        <w:rPr>
          <w:b/>
          <w:bCs/>
        </w:rPr>
      </w:pPr>
      <w:r>
        <w:rPr>
          <w:b/>
          <w:bCs/>
        </w:rPr>
      </w:r>
    </w:p>
    <w:p>
      <w:pPr>
        <w:pStyle w:val="Normal"/>
        <w:numPr>
          <w:ilvl w:val="0"/>
          <w:numId w:val="2"/>
        </w:numPr>
        <w:tabs>
          <w:tab w:val="clear" w:pos="720"/>
          <w:tab w:val="left" w:pos="2160" w:leader="none"/>
        </w:tabs>
        <w:rPr>
          <w:b/>
          <w:bCs/>
        </w:rPr>
      </w:pPr>
      <w:r>
        <w:rPr/>
        <w:t>Develop incentives for efficient management and administration pursuant to Article III, Section IV.E of Owners Agreement.</w:t>
      </w:r>
      <w:r>
        <w:br w:type="page"/>
      </w:r>
    </w:p>
    <w:p>
      <w:pPr>
        <w:pStyle w:val="Heading1"/>
        <w:ind w:hanging="0" w:start="0"/>
        <w:rPr/>
      </w:pPr>
      <w:r>
        <w:rPr/>
        <w:t>OTHER REQUIREMENTS CONT’D</w:t>
      </w:r>
    </w:p>
    <w:p>
      <w:pPr>
        <w:pStyle w:val="Normal"/>
        <w:tabs>
          <w:tab w:val="clear" w:pos="720"/>
          <w:tab w:val="left" w:pos="2160" w:leader="none"/>
        </w:tabs>
        <w:jc w:val="center"/>
        <w:rPr>
          <w:b/>
          <w:bCs/>
        </w:rPr>
      </w:pPr>
      <w:r>
        <w:rPr>
          <w:b/>
          <w:bCs/>
        </w:rPr>
      </w:r>
    </w:p>
    <w:p>
      <w:pPr>
        <w:pStyle w:val="Normal"/>
        <w:numPr>
          <w:ilvl w:val="0"/>
          <w:numId w:val="2"/>
        </w:numPr>
        <w:tabs>
          <w:tab w:val="clear" w:pos="720"/>
          <w:tab w:val="left" w:pos="2160" w:leader="none"/>
        </w:tabs>
        <w:rPr>
          <w:b/>
          <w:bCs/>
        </w:rPr>
      </w:pPr>
      <w:r>
        <w:rPr/>
        <w:t>Assist with Owners Agreement changes to amend Appendix C to add Schedule F grandfathered agreements and MDU language.</w:t>
      </w:r>
    </w:p>
    <w:p>
      <w:pPr>
        <w:pStyle w:val="Normal"/>
        <w:tabs>
          <w:tab w:val="clear" w:pos="720"/>
          <w:tab w:val="left" w:pos="2160" w:leader="none"/>
        </w:tabs>
        <w:rPr>
          <w:b/>
          <w:bCs/>
        </w:rPr>
      </w:pPr>
      <w:r>
        <w:rPr>
          <w:b/>
          <w:bCs/>
        </w:rPr>
      </w:r>
    </w:p>
    <w:p>
      <w:pPr>
        <w:pStyle w:val="Normal"/>
        <w:numPr>
          <w:ilvl w:val="0"/>
          <w:numId w:val="2"/>
        </w:numPr>
        <w:tabs>
          <w:tab w:val="clear" w:pos="720"/>
          <w:tab w:val="left" w:pos="2160" w:leader="none"/>
        </w:tabs>
        <w:rPr>
          <w:b/>
          <w:bCs/>
        </w:rPr>
      </w:pPr>
      <w:r>
        <w:rPr/>
        <w:t>Assist with filing completed signatures pages of new Members to Owners Agreement.</w:t>
      </w:r>
    </w:p>
    <w:p>
      <w:pPr>
        <w:pStyle w:val="Normal"/>
        <w:jc w:val="center"/>
        <w:rPr>
          <w:b/>
          <w:bCs/>
          <w:sz w:val="28"/>
        </w:rPr>
      </w:pPr>
      <w:r>
        <w:rPr>
          <w:b/>
          <w:bCs/>
          <w:sz w:val="28"/>
        </w:rPr>
      </w:r>
    </w:p>
    <w:p>
      <w:pPr>
        <w:pStyle w:val="Normal"/>
        <w:rPr>
          <w:b/>
          <w:bCs/>
          <w:sz w:val="28"/>
        </w:rPr>
      </w:pPr>
      <w:r>
        <w:rPr>
          <w:b/>
          <w:bCs/>
          <w:sz w:val="28"/>
        </w:rPr>
      </w:r>
    </w:p>
    <w:sectPr>
      <w:footnotePr>
        <w:numFmt w:val="decimal"/>
      </w:footnotePr>
      <w:type w:val="nextPage"/>
      <w:pgSz w:w="12240" w:h="15840"/>
      <w:pgMar w:left="1800" w:right="180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Bell MT"/>
    <w:charset w:val="00" w:characterSet="windows-1252"/>
    <w:family w:val="roman"/>
    <w:pitch w:val="variable"/>
  </w:font>
  <w:font w:name="Times">
    <w:altName w:val="Times New Roman"/>
    <w:charset w:val="00" w:characterSet="windows-1252"/>
    <w:family w:val="roman"/>
    <w:pitch w:val="variable"/>
  </w:font>
  <w:font w:name="Verdan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See MISO's amendments to the OATT, ER01-3142-001 (October 11, 2001); MISO's Revision to Section 17.5 of the OATT, ER02-103-000 (October 15, 2001); MISO's revisions to the OATT, ER01-3142-002 (October 15, 2001), and MISO's filing of American Transmission Company LLC's OATT rate schedules redesignated with MISO tariff designations, ER02-78-000 (October 16, 2001). </w:t>
      </w:r>
    </w:p>
  </w:footnote>
  <w:footnote w:id="3">
    <w:p>
      <w:pPr>
        <w:pStyle w:val="FootnoteText"/>
        <w:rPr/>
      </w:pPr>
      <w:r>
        <w:rPr>
          <w:rStyle w:val="FootnoteCharacters"/>
        </w:rPr>
        <w:footnoteRef/>
      </w:r>
      <w:r>
        <w:rPr/>
        <w:t xml:space="preserve"> </w:t>
      </w:r>
      <w:r>
        <w:rPr>
          <w:i/>
        </w:rPr>
        <w:t xml:space="preserve">See Regional Transmission Organization, </w:t>
      </w:r>
      <w:r>
        <w:rPr>
          <w:iCs/>
        </w:rPr>
        <w:t>96 FERC ¶ 61,065 at 61,282, n.1 (2001);</w:t>
      </w:r>
      <w:r>
        <w:rPr>
          <w:i/>
        </w:rPr>
        <w:t xml:space="preserve"> Regional Transmission Organizations</w:t>
      </w:r>
      <w:r>
        <w:rPr>
          <w:iCs/>
        </w:rPr>
        <w:t>, 96 FERC ¶ 61,066 at 61,284, n.1 (2001).</w:t>
      </w:r>
    </w:p>
  </w:footnote>
  <w:footnote w:id="4">
    <w:p>
      <w:pPr>
        <w:pStyle w:val="FootnoteText"/>
        <w:rPr/>
      </w:pPr>
      <w:r>
        <w:rPr>
          <w:rStyle w:val="FootnoteCharacters"/>
        </w:rPr>
        <w:footnoteRef/>
      </w:r>
      <w:r>
        <w:rPr/>
        <w:t xml:space="preserve"> </w:t>
      </w:r>
      <w:r>
        <w:rPr/>
        <w:t>In a handout provided to attendees at the October 17, 2001 MISO Advisory Committee meeting, MISO listed the filings it plans to make prior to December 15, 2001; the handout is attached as Attachment A.</w:t>
      </w:r>
    </w:p>
  </w:footnote>
  <w:footnote w:id="5">
    <w:p>
      <w:pPr>
        <w:pStyle w:val="FootnoteText"/>
        <w:rPr/>
      </w:pPr>
      <w:r>
        <w:rPr>
          <w:rStyle w:val="FootnoteCharacters"/>
        </w:rPr>
        <w:footnoteRef/>
      </w:r>
      <w:r>
        <w:rPr/>
        <w:t xml:space="preserve"> </w:t>
      </w:r>
      <w:r>
        <w:rPr>
          <w:i/>
          <w:iCs/>
        </w:rPr>
        <w:t>Midwest Independent Transmission System Operator, Inc.,</w:t>
      </w:r>
      <w:r>
        <w:rPr/>
        <w:t xml:space="preserve"> </w:t>
      </w:r>
      <w:r>
        <w:rPr>
          <w:i/>
          <w:iCs/>
        </w:rPr>
        <w:t>et al.</w:t>
      </w:r>
      <w:r>
        <w:rPr>
          <w:rFonts w:cs="Verdana" w:ascii="Verdana" w:hAnsi="Verdana"/>
        </w:rPr>
        <w:t xml:space="preserve"> </w:t>
      </w:r>
      <w:r>
        <w:rPr/>
        <w:t>97 FERC ¶ 61,033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480"/>
      <w:jc w:val="center"/>
      <w:outlineLvl w:val="0"/>
    </w:pPr>
    <w:rPr>
      <w:b/>
      <w:bCs/>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u w:val="single"/>
    </w:rPr>
  </w:style>
  <w:style w:type="paragraph" w:styleId="Heading3">
    <w:name w:val="heading 3"/>
    <w:basedOn w:val="Normal"/>
    <w:next w:val="Normal"/>
    <w:qFormat/>
    <w:pPr>
      <w:keepNext w:val="true"/>
      <w:numPr>
        <w:ilvl w:val="2"/>
        <w:numId w:val="1"/>
      </w:numPr>
      <w:jc w:val="center"/>
      <w:outlineLvl w:val="2"/>
    </w:pPr>
    <w:rPr>
      <w:b/>
      <w:bCs/>
      <w:u w:val="single"/>
    </w:rPr>
  </w:style>
  <w:style w:type="paragraph" w:styleId="Heading4">
    <w:name w:val="heading 4"/>
    <w:basedOn w:val="Normal"/>
    <w:next w:val="Normal"/>
    <w:qFormat/>
    <w:pPr>
      <w:keepNext w:val="true"/>
      <w:numPr>
        <w:ilvl w:val="3"/>
        <w:numId w:val="1"/>
      </w:numPr>
      <w:spacing w:lineRule="atLeast" w:line="480"/>
      <w:jc w:val="both"/>
      <w:outlineLvl w:val="3"/>
    </w:pPr>
    <w:rPr>
      <w:b/>
      <w:bCs/>
    </w:rPr>
  </w:style>
  <w:style w:type="paragraph" w:styleId="Heading5">
    <w:name w:val="heading 5"/>
    <w:basedOn w:val="Normal"/>
    <w:next w:val="Normal"/>
    <w:qFormat/>
    <w:pPr>
      <w:keepNext w:val="true"/>
      <w:numPr>
        <w:ilvl w:val="4"/>
        <w:numId w:val="1"/>
      </w:numPr>
      <w:jc w:val="center"/>
      <w:outlineLvl w:val="4"/>
    </w:pPr>
    <w:rPr>
      <w:b/>
      <w:bCs/>
      <w:sz w:val="28"/>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tabs>
        <w:tab w:val="center" w:pos="720" w:leader="none"/>
      </w:tabs>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
    <w:name w:val="Center"/>
    <w:basedOn w:val="Normal"/>
    <w:qFormat/>
    <w:pPr>
      <w:widowControl w:val="false"/>
      <w:spacing w:lineRule="exact" w:line="260" w:before="260" w:after="0"/>
      <w:jc w:val="center"/>
    </w:pPr>
    <w:rPr>
      <w:rFonts w:ascii="Galliard;Bell MT" w:hAnsi="Galliard;Bell MT" w:cs="Galliard;Bell MT"/>
      <w:szCs w:val="20"/>
    </w:rPr>
  </w:style>
  <w:style w:type="paragraph" w:styleId="TitleStyle">
    <w:name w:val="Title Style"/>
    <w:basedOn w:val="Normal"/>
    <w:qFormat/>
    <w:pPr>
      <w:widowControl w:val="false"/>
      <w:jc w:val="center"/>
    </w:pPr>
    <w:rPr>
      <w:rFonts w:ascii="Galliard;Bell MT" w:hAnsi="Galliard;Bell MT" w:cs="Galliard;Bell MT"/>
      <w:b/>
      <w:caps/>
      <w:szCs w:val="20"/>
    </w:rPr>
  </w:style>
  <w:style w:type="paragraph" w:styleId="BodyTextIndent">
    <w:name w:val="Body Text Indent"/>
    <w:basedOn w:val="Normal"/>
    <w:pPr>
      <w:spacing w:lineRule="auto" w:line="480"/>
      <w:ind w:firstLine="720" w:start="0" w:end="0"/>
      <w:jc w:val="both"/>
    </w:pPr>
    <w:rPr/>
  </w:style>
  <w:style w:type="paragraph" w:styleId="BodyTextStyle">
    <w:name w:val="Body Text Style"/>
    <w:basedOn w:val="Normal"/>
    <w:qFormat/>
    <w:pPr>
      <w:widowControl w:val="false"/>
      <w:spacing w:lineRule="exact" w:line="520"/>
      <w:ind w:firstLine="1080" w:start="0" w:end="0"/>
    </w:pPr>
    <w:rPr>
      <w:rFonts w:ascii="Galliard;Bell MT" w:hAnsi="Galliard;Bell MT" w:cs="Galliard;Bell MT"/>
      <w:szCs w:val="20"/>
    </w:rPr>
  </w:style>
  <w:style w:type="paragraph" w:styleId="FootnoteText">
    <w:name w:val="footnote text"/>
    <w:basedOn w:val="Normal"/>
    <w:pPr/>
    <w:rPr>
      <w:sz w:val="20"/>
      <w:szCs w:val="20"/>
    </w:rPr>
  </w:style>
  <w:style w:type="paragraph" w:styleId="BodyText2">
    <w:name w:val="Body Text 2"/>
    <w:basedOn w:val="Normal"/>
    <w:qFormat/>
    <w:pPr/>
    <w:rPr>
      <w:b/>
      <w:bCs/>
    </w:rPr>
  </w:style>
  <w:style w:type="paragraph" w:styleId="BodyTextIndent2">
    <w:name w:val="Body Text Indent 2"/>
    <w:basedOn w:val="Normal"/>
    <w:qFormat/>
    <w:pPr>
      <w:autoSpaceDE w:val="false"/>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2001-10-22T12:50:00Z</dcterms:created>
  <dc:creator>Susan Lindberg</dc:creator>
  <dc:description/>
  <dc:language>en-CA</dc:language>
  <cp:lastModifiedBy>Susan Lindberg</cp:lastModifiedBy>
  <cp:lastPrinted>2001-10-22T15:53:00Z</cp:lastPrinted>
  <dcterms:modified xsi:type="dcterms:W3CDTF">2001-10-22T18:24:00Z</dcterms:modified>
  <cp:revision>10</cp:revision>
  <dc:subject/>
  <dc:title>UNITED STATES OF AMERICA</dc:title>
</cp:coreProperties>
</file>