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rPr>
            </w:pPr>
            <w:r>
              <w:rPr>
                <w:b/>
              </w:rPr>
              <w:t xml:space="preserve">Midwest Independent Transmission System Operator, Inc (‘MISO’)     </w:t>
            </w:r>
          </w:p>
          <w:p>
            <w:pPr>
              <w:pStyle w:val="Normal"/>
              <w:rPr>
                <w:b/>
              </w:rPr>
            </w:pPr>
            <w:r>
              <w:rPr>
                <w:b/>
              </w:rPr>
            </w:r>
          </w:p>
          <w:p>
            <w:pPr>
              <w:pStyle w:val="Normal"/>
              <w:rPr>
                <w:b/>
              </w:rPr>
            </w:pPr>
            <w:r>
              <w:rPr>
                <w:b/>
              </w:rPr>
            </w:r>
          </w:p>
        </w:tc>
        <w:tc>
          <w:tcPr>
            <w:tcW w:w="1530" w:type="dxa"/>
            <w:tcBorders/>
          </w:tcPr>
          <w:p>
            <w:pPr>
              <w:pStyle w:val="Normal"/>
              <w:spacing w:lineRule="auto" w:line="480"/>
              <w:jc w:val="center"/>
              <w:rPr>
                <w:b/>
              </w:rPr>
            </w:pPr>
            <w:r>
              <w:rPr>
                <w:b/>
              </w:rPr>
              <w:t>)</w:t>
            </w:r>
          </w:p>
        </w:tc>
        <w:tc>
          <w:tcPr>
            <w:tcW w:w="3798" w:type="dxa"/>
            <w:tcBorders/>
          </w:tcPr>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Docket No. ER02-108-000</w:t>
            </w:r>
          </w:p>
        </w:tc>
      </w:tr>
    </w:tbl>
    <w:p>
      <w:pPr>
        <w:pStyle w:val="Center"/>
        <w:widowControl/>
        <w:spacing w:lineRule="auto" w:line="480" w:before="0" w:after="0"/>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w:t xml:space="preserve">MOTION TO INTERVENE AND Protest OF </w:t>
      </w:r>
    </w:p>
    <w:p>
      <w:pPr>
        <w:pStyle w:val="Heading1"/>
        <w:ind w:hanging="0" w:start="0"/>
        <w:rPr/>
      </w:pPr>
      <w:r>
        <w:rPr/>
        <w:t>ENRON POWER MARKETING, INC.</w:t>
      </w:r>
    </w:p>
    <w:p>
      <w:pPr>
        <w:pStyle w:val="Normal"/>
        <w:jc w:val="center"/>
        <w:rPr>
          <w:b/>
        </w:rPr>
      </w:pPr>
      <w:r>
        <w:rPr>
          <w:b/>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480"/>
        <w:ind w:firstLine="720" w:end="0"/>
        <w:rPr/>
      </w:pPr>
      <w:r>
        <w:rPr/>
        <w:t>Pursuant to Rules 214 and 211 of the Rules of Practice and Procedure of the Federal Energy Regulatory Commission (“Commission”), 18 C.F.R. 214 and 211, and the Commission’s Notice of Filing dated October 18, 2001, Enron Power Marketing, Inc. (“EPMI”) hereby moves to intervene and protest in the above-captioned proceeding.</w:t>
      </w:r>
    </w:p>
    <w:p>
      <w:pPr>
        <w:pStyle w:val="Normal"/>
        <w:tabs>
          <w:tab w:val="center" w:pos="720" w:leader="none"/>
        </w:tabs>
        <w:ind w:hanging="720" w:start="720" w:end="0"/>
        <w:jc w:val="center"/>
        <w:rPr>
          <w:b/>
        </w:rPr>
      </w:pPr>
      <w:r>
        <w:rPr>
          <w:b/>
        </w:rPr>
        <w:t>I.</w:t>
      </w:r>
    </w:p>
    <w:p>
      <w:pPr>
        <w:pStyle w:val="Normal"/>
        <w:tabs>
          <w:tab w:val="center" w:pos="720" w:leader="none"/>
        </w:tabs>
        <w:ind w:hanging="720" w:start="720" w:end="0"/>
        <w:jc w:val="center"/>
        <w:rPr>
          <w:b/>
          <w:u w:val="single"/>
        </w:rPr>
      </w:pPr>
      <w:r>
        <w:rPr>
          <w:b/>
          <w:u w:val="single"/>
        </w:rPr>
        <w:t>COMMUNICATIONS</w:t>
      </w:r>
    </w:p>
    <w:p>
      <w:pPr>
        <w:pStyle w:val="Normal"/>
        <w:tabs>
          <w:tab w:val="center" w:pos="720" w:leader="none"/>
        </w:tabs>
        <w:ind w:hanging="720" w:start="720" w:end="0"/>
        <w:jc w:val="center"/>
        <w:rPr>
          <w:b/>
          <w:u w:val="single"/>
        </w:rPr>
      </w:pPr>
      <w:r>
        <w:rPr>
          <w:b/>
          <w:u w:val="single"/>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lineRule="auto" w:line="480"/>
        <w:rPr/>
      </w:pPr>
      <w:r>
        <w:rPr/>
        <w:t>Communications and correspondence regarding this proceeding should be directed to:</w:t>
      </w:r>
    </w:p>
    <w:p>
      <w:pPr>
        <w:pStyle w:val="Normal"/>
        <w:spacing w:lineRule="auto" w:line="214"/>
        <w:ind w:firstLine="720" w:end="0"/>
        <w:jc w:val="both"/>
        <w:rPr/>
      </w:pPr>
      <w:r>
        <w:rPr/>
        <w:tab/>
        <w:tab/>
        <w:tab/>
        <w:tab/>
        <w:tab/>
        <w:tab/>
        <w:t>Christi L. Nicolay</w:t>
      </w:r>
    </w:p>
    <w:p>
      <w:pPr>
        <w:pStyle w:val="Normal"/>
        <w:spacing w:lineRule="auto" w:line="214"/>
        <w:ind w:firstLine="720" w:end="0"/>
        <w:jc w:val="both"/>
        <w:rPr/>
      </w:pPr>
      <w:r>
        <w:rPr/>
        <w:t>Sarah G. Novosel</w:t>
        <w:tab/>
        <w:tab/>
        <w:tab/>
        <w:tab/>
        <w:t>Susan Scott Lindberg</w:t>
      </w:r>
    </w:p>
    <w:p>
      <w:pPr>
        <w:pStyle w:val="Normal"/>
        <w:spacing w:lineRule="auto" w:line="214"/>
        <w:ind w:start="720" w:end="0"/>
        <w:jc w:val="both"/>
        <w:rPr/>
      </w:pPr>
      <w:r>
        <w:rPr/>
        <w:t>Federal Regulatory Affairs</w:t>
        <w:tab/>
        <w:tab/>
        <w:tab/>
        <w:t>Federal Regulatory Affairs</w:t>
      </w:r>
    </w:p>
    <w:p>
      <w:pPr>
        <w:pStyle w:val="Normal"/>
        <w:tabs>
          <w:tab w:val="clear" w:pos="720"/>
          <w:tab w:val="left" w:pos="-1440" w:leader="none"/>
        </w:tabs>
        <w:spacing w:lineRule="auto" w:line="214"/>
        <w:ind w:hanging="4320" w:start="5040" w:end="0"/>
        <w:jc w:val="both"/>
        <w:rPr/>
      </w:pPr>
      <w:r>
        <w:rPr/>
        <w:t>Enron Corp.</w:t>
        <w:tab/>
        <w:t>Enron Corp.</w:t>
      </w:r>
    </w:p>
    <w:p>
      <w:pPr>
        <w:pStyle w:val="Normal"/>
        <w:spacing w:lineRule="auto" w:line="214"/>
        <w:ind w:firstLine="720" w:end="0"/>
        <w:jc w:val="both"/>
        <w:rPr/>
      </w:pPr>
      <w:r>
        <w:rPr/>
        <w:t>1775 Eye Street, N.W., Suite 800</w:t>
        <w:tab/>
        <w:tab/>
        <w:t>1400 Smith Street</w:t>
      </w:r>
    </w:p>
    <w:p>
      <w:pPr>
        <w:pStyle w:val="Normal"/>
        <w:tabs>
          <w:tab w:val="clear" w:pos="720"/>
          <w:tab w:val="left" w:pos="-1440" w:leader="none"/>
        </w:tabs>
        <w:spacing w:lineRule="auto" w:line="214"/>
        <w:ind w:hanging="2880" w:start="3600" w:end="0"/>
        <w:jc w:val="both"/>
        <w:rPr/>
      </w:pPr>
      <w:r>
        <w:rPr/>
        <w:t>Washington, D.C.  20006</w:t>
        <w:tab/>
        <w:tab/>
        <w:tab/>
        <w:t>Houston, TX   77002</w:t>
      </w:r>
    </w:p>
    <w:p>
      <w:pPr>
        <w:pStyle w:val="Normal"/>
        <w:spacing w:lineRule="auto" w:line="214"/>
        <w:ind w:firstLine="720" w:end="0"/>
        <w:jc w:val="both"/>
        <w:rPr/>
      </w:pPr>
      <w:r>
        <w:rPr/>
        <w:t>(202) 466-9160</w:t>
        <w:tab/>
        <w:tab/>
        <w:tab/>
        <w:tab/>
        <w:t>(713) 853-0596</w:t>
      </w:r>
    </w:p>
    <w:p>
      <w:pPr>
        <w:pStyle w:val="Normal"/>
        <w:spacing w:lineRule="auto" w:line="214"/>
        <w:ind w:firstLine="720" w:end="0"/>
        <w:jc w:val="both"/>
        <w:rPr/>
      </w:pPr>
      <w:r>
        <w:rPr/>
        <w:t>(202) 955-8496 (fax)</w:t>
        <w:tab/>
        <w:tab/>
        <w:tab/>
        <w:tab/>
        <w:t>(713) 646-8160 (fax)</w:t>
      </w:r>
    </w:p>
    <w:p>
      <w:pPr>
        <w:pStyle w:val="Normal"/>
        <w:spacing w:lineRule="auto" w:line="214"/>
        <w:ind w:firstLine="720" w:end="0"/>
        <w:jc w:val="both"/>
        <w:rPr/>
      </w:pPr>
      <w:r>
        <w:rPr/>
        <w:t>donna.fulton@enron.com</w:t>
        <w:tab/>
        <w:tab/>
        <w:tab/>
        <w:t>susan.lindberg@enron.com</w:t>
      </w:r>
    </w:p>
    <w:p>
      <w:pPr>
        <w:pStyle w:val="Normal"/>
        <w:tabs>
          <w:tab w:val="clear" w:pos="720"/>
          <w:tab w:val="left" w:pos="-1440" w:leader="none"/>
        </w:tabs>
        <w:spacing w:lineRule="auto" w:line="214"/>
        <w:ind w:hanging="5040" w:start="5760" w:end="0"/>
        <w:jc w:val="both"/>
        <w:rPr/>
      </w:pPr>
      <w:r>
        <w:rPr/>
      </w:r>
    </w:p>
    <w:p>
      <w:pPr>
        <w:pStyle w:val="Normal"/>
        <w:jc w:val="both"/>
        <w:rPr/>
      </w:pPr>
      <w:r>
        <w:rPr/>
        <w:tab/>
        <w:t>Kerry Stroup</w:t>
      </w:r>
    </w:p>
    <w:p>
      <w:pPr>
        <w:pStyle w:val="Normal"/>
        <w:jc w:val="both"/>
        <w:rPr/>
      </w:pPr>
      <w:r>
        <w:rPr/>
        <w:tab/>
        <w:t>Government Affairs</w:t>
      </w:r>
    </w:p>
    <w:p>
      <w:pPr>
        <w:pStyle w:val="Normal"/>
        <w:jc w:val="both"/>
        <w:rPr/>
      </w:pPr>
      <w:r>
        <w:rPr/>
        <w:tab/>
        <w:t>Enron Corp.</w:t>
      </w:r>
    </w:p>
    <w:p>
      <w:pPr>
        <w:pStyle w:val="Normal"/>
        <w:jc w:val="both"/>
        <w:rPr/>
      </w:pPr>
      <w:r>
        <w:rPr/>
        <w:tab/>
        <w:t>400 Metro Place North</w:t>
      </w:r>
    </w:p>
    <w:p>
      <w:pPr>
        <w:pStyle w:val="Normal"/>
        <w:jc w:val="both"/>
        <w:rPr/>
      </w:pPr>
      <w:r>
        <w:rPr/>
        <w:tab/>
        <w:t>Dublin, Ohio  43017-3375</w:t>
      </w:r>
    </w:p>
    <w:p>
      <w:pPr>
        <w:pStyle w:val="Normal"/>
        <w:jc w:val="both"/>
        <w:rPr/>
      </w:pPr>
      <w:r>
        <w:rPr/>
        <w:tab/>
        <w:t>614-791-6159</w:t>
      </w:r>
    </w:p>
    <w:p>
      <w:pPr>
        <w:pStyle w:val="Normal"/>
        <w:jc w:val="both"/>
        <w:rPr/>
      </w:pPr>
      <w:r>
        <w:rPr/>
        <w:tab/>
        <w:t>614-791-6149 (fax</w:t>
      </w:r>
    </w:p>
    <w:p>
      <w:pPr>
        <w:pStyle w:val="Normal"/>
        <w:jc w:val="both"/>
        <w:rPr/>
      </w:pPr>
      <w:r>
        <w:rPr/>
        <w:tab/>
      </w:r>
      <w:hyperlink r:id="rId4">
        <w:r>
          <w:rPr>
            <w:rStyle w:val="Hyperlink"/>
          </w:rPr>
          <w:t>kerry.stroup@enron.com</w:t>
        </w:r>
      </w:hyperlink>
      <w:r>
        <w:br w:type="page"/>
      </w:r>
    </w:p>
    <w:p>
      <w:pPr>
        <w:pStyle w:val="Normal"/>
        <w:jc w:val="both"/>
        <w:rPr/>
      </w:pPr>
      <w:r>
        <w:rPr/>
      </w:r>
    </w:p>
    <w:p>
      <w:pPr>
        <w:pStyle w:val="TitleStyle"/>
        <w:widowControl/>
        <w:tabs>
          <w:tab w:val="clear" w:pos="720"/>
          <w:tab w:val="center" w:pos="4680" w:leader="none"/>
        </w:tabs>
        <w:rPr>
          <w:rFonts w:ascii="Times New Roman" w:hAnsi="Times New Roman" w:cs="Times New Roman"/>
          <w:caps w:val="false"/>
          <w:smallCaps w:val="false"/>
        </w:rPr>
      </w:pPr>
      <w:r>
        <w:rPr>
          <w:rFonts w:cs="Times New Roman" w:ascii="Times New Roman" w:hAnsi="Times New Roman"/>
          <w:caps w:val="false"/>
          <w:smallCaps w:val="false"/>
        </w:rPr>
        <w:t>II.</w:t>
      </w:r>
    </w:p>
    <w:p>
      <w:pPr>
        <w:pStyle w:val="Normal"/>
        <w:tabs>
          <w:tab w:val="clear" w:pos="720"/>
          <w:tab w:val="center" w:pos="4680" w:leader="none"/>
        </w:tabs>
        <w:spacing w:lineRule="auto" w:line="480"/>
        <w:jc w:val="center"/>
        <w:rPr>
          <w:b/>
          <w:u w:val="single"/>
        </w:rPr>
      </w:pPr>
      <w:r>
        <w:rPr>
          <w:b/>
          <w:u w:val="single"/>
        </w:rPr>
        <w:t>INTERVENOR</w:t>
      </w:r>
    </w:p>
    <w:p>
      <w:pPr>
        <w:pStyle w:val="Normal"/>
        <w:spacing w:lineRule="auto" w:line="480"/>
        <w:ind w:firstLine="720" w:end="0"/>
        <w:jc w:val="both"/>
        <w:rPr/>
      </w:pPr>
      <w:r>
        <w:rPr/>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BodyTextStyle"/>
        <w:widowControl/>
        <w:spacing w:lineRule="auto" w:line="240"/>
        <w:ind w:hanging="0" w:end="0"/>
        <w:jc w:val="center"/>
        <w:rPr>
          <w:rFonts w:ascii="Times New Roman" w:hAnsi="Times New Roman" w:cs="Times New Roman"/>
          <w:b/>
        </w:rPr>
      </w:pPr>
      <w:r>
        <w:rPr>
          <w:rFonts w:cs="Times New Roman" w:ascii="Times New Roman" w:hAnsi="Times New Roman"/>
          <w:b/>
        </w:rPr>
        <w:t>III.</w:t>
      </w:r>
    </w:p>
    <w:p>
      <w:pPr>
        <w:pStyle w:val="BodyText"/>
        <w:spacing w:lineRule="auto" w:line="240"/>
        <w:jc w:val="center"/>
        <w:rPr>
          <w:b/>
        </w:rPr>
      </w:pPr>
      <w:r>
        <w:rPr>
          <w:b/>
          <w:u w:val="single"/>
        </w:rPr>
        <w:t>MOTION TO INTERVENE</w:t>
      </w:r>
    </w:p>
    <w:p>
      <w:pPr>
        <w:pStyle w:val="BodyText"/>
        <w:spacing w:lineRule="auto" w:line="240"/>
        <w:rPr>
          <w:b/>
        </w:rPr>
      </w:pPr>
      <w:r>
        <w:rPr>
          <w:b/>
        </w:rPr>
      </w:r>
    </w:p>
    <w:p>
      <w:pPr>
        <w:pStyle w:val="Normal"/>
        <w:spacing w:lineRule="auto" w:line="480"/>
        <w:ind w:firstLine="720" w:end="0"/>
        <w:jc w:val="both"/>
        <w:rPr/>
      </w:pPr>
      <w:r>
        <w:rPr/>
        <w:t>EPMI actively participates in the markets that will come under Midwest Independent Transmission System Operator, Inc. (“MISO”) operational control on December 15, 2001.  EPMI will therefore be directly affected by this filing.  EPMI's interest cannot be adequately represented by any other party.  Therefore, EPMI submits that its intervention in this proceeding is in the public interest and should be granted.</w:t>
      </w:r>
    </w:p>
    <w:p>
      <w:pPr>
        <w:pStyle w:val="Normal"/>
        <w:jc w:val="center"/>
        <w:rPr>
          <w:b/>
        </w:rPr>
      </w:pPr>
      <w:r>
        <w:rPr>
          <w:b/>
        </w:rPr>
        <w:t>IV.</w:t>
      </w:r>
    </w:p>
    <w:p>
      <w:pPr>
        <w:pStyle w:val="Heading1"/>
        <w:ind w:hanging="0" w:start="0"/>
        <w:rPr/>
      </w:pPr>
      <w:r>
        <w:rPr/>
        <w:t>THE FILING</w:t>
      </w:r>
    </w:p>
    <w:p>
      <w:pPr>
        <w:pStyle w:val="Normal"/>
        <w:spacing w:lineRule="atLeast" w:line="480"/>
        <w:jc w:val="center"/>
        <w:rPr/>
      </w:pPr>
      <w:r>
        <w:rPr/>
      </w:r>
    </w:p>
    <w:p>
      <w:pPr>
        <w:pStyle w:val="BodyTextIndent"/>
        <w:jc w:val="both"/>
        <w:rPr/>
      </w:pPr>
      <w:r>
        <w:rPr/>
        <w:t>On October 15, 2001, MISO submitted for filing its Market Monitoring Plan (“Plan”) and Addendum to that Plan.  The purpose of that filing was to “…implement certain procedures for the market monitoring plan in a fashion consistent with the requirements of Article VI of the Commission’s Order, Conditionally Authorizing Establishment of MISO and Establishing Hearing Procedures, issued September 16, 1998.”  The Plan provides for monitoring of the performance and efficiency of the cooperating entities markets and services</w:t>
      </w:r>
      <w:r>
        <w:rPr>
          <w:rStyle w:val="FootnoteCharacters"/>
          <w:rStyle w:val="FootnoteReference"/>
          <w:sz w:val="24"/>
        </w:rPr>
        <w:footnoteReference w:id="2"/>
      </w:r>
      <w:r>
        <w:rPr/>
        <w:t xml:space="preserve"> by an independent entity, Potomac Economics.</w:t>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V.</w:t>
      </w:r>
    </w:p>
    <w:p>
      <w:pPr>
        <w:pStyle w:val="Heading2"/>
        <w:ind w:hanging="0" w:end="0"/>
        <w:rPr/>
      </w:pPr>
      <w:r>
        <w:rPr/>
        <w:t>PROTEST</w:t>
      </w:r>
    </w:p>
    <w:p>
      <w:pPr>
        <w:pStyle w:val="BodyText3"/>
        <w:ind w:hanging="720" w:start="720" w:end="0"/>
        <w:rPr/>
      </w:pPr>
      <w:r>
        <w:rPr/>
      </w:r>
    </w:p>
    <w:p>
      <w:pPr>
        <w:pStyle w:val="BodyText3"/>
        <w:numPr>
          <w:ilvl w:val="0"/>
          <w:numId w:val="3"/>
        </w:numPr>
        <w:rPr>
          <w:szCs w:val="20"/>
        </w:rPr>
      </w:pPr>
      <w:r>
        <w:rPr>
          <w:szCs w:val="20"/>
        </w:rPr>
        <w:t>Independent and transparent market monitoring is in the public interest.</w:t>
      </w:r>
    </w:p>
    <w:p>
      <w:pPr>
        <w:pStyle w:val="BodyText3"/>
        <w:ind w:start="360" w:end="0"/>
        <w:rPr>
          <w:szCs w:val="20"/>
        </w:rPr>
      </w:pPr>
      <w:r>
        <w:rPr>
          <w:szCs w:val="20"/>
        </w:rPr>
      </w:r>
    </w:p>
    <w:p>
      <w:pPr>
        <w:pStyle w:val="Normal"/>
        <w:autoSpaceDE w:val="false"/>
        <w:spacing w:lineRule="auto" w:line="480"/>
        <w:ind w:firstLine="360" w:end="0"/>
        <w:jc w:val="both"/>
        <w:rPr/>
      </w:pPr>
      <w:r>
        <w:rPr/>
        <w:t>EPMI fully supports the Commission’s decision to establish four RTO’s nationwide (outside of ERCOT).  A well functioning RTO will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more ability to provide better price signals that encourage demand side management; greater incentive to invest in transmission where warranted and, most importantly, the perception that the playing field for incumbents and new entrants alike will at last be leveled.  It is this last benefit in particular, a result of the RTO approach, that will bring confidence in the market to attract more participants and market activity and to ensure that capacity adequacy is achieved.</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255" w:leader="none"/>
          <w:tab w:val="left" w:pos="6480" w:leader="none"/>
          <w:tab w:val="left" w:pos="7200" w:leader="none"/>
          <w:tab w:val="left" w:pos="7920" w:leader="none"/>
          <w:tab w:val="left" w:pos="8640" w:leader="none"/>
          <w:tab w:val="left" w:pos="9360" w:leader="none"/>
        </w:tabs>
        <w:rPr/>
      </w:pPr>
      <w:r>
        <w:rPr/>
        <w:tab/>
        <w:t xml:space="preserve">It is critical that the market monitor be independent in perception as well as reality of the markets and parties with whom it interacts, as this is the only way that a ‘level playing field’ is maintained.  The market monitor will interact with participants, the RTO and other interested parties, such as regulators and state/federal bodies, on a daily basis.  In doing so it must be able to avoid perceived conflicts of interest, as each such interaction is liable to be viewed by market participants with suspicion.  The mere perception of conflicts of interest will inevitably damage the market’s credibility and will result in diminished market participation.  As such, perceptions of conflicts of interest must be managed by ensuring that the market monitor is in fact independent and that its relationship with each and every market participant is transparent, </w:t>
      </w:r>
      <w:r>
        <w:rPr>
          <w:u w:val="single"/>
        </w:rPr>
        <w:t>i.e.</w:t>
      </w:r>
      <w:r>
        <w:rPr/>
        <w:t xml:space="preserve"> open to public scrutiny.  In turn, incumbents and new entrants will perceive that they have equal access to the market.  This will build confidence and promote an open, competitive structure that is in the public interest.  The market monitor must be independent, and its interactions with market participants must be transparent.</w:t>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255" w:leader="none"/>
          <w:tab w:val="left" w:pos="6480" w:leader="none"/>
          <w:tab w:val="left" w:pos="7200" w:leader="none"/>
          <w:tab w:val="left" w:pos="7920" w:leader="none"/>
          <w:tab w:val="left" w:pos="8640" w:leader="none"/>
          <w:tab w:val="left" w:pos="9360" w:leader="none"/>
        </w:tabs>
        <w:rPr/>
      </w:pPr>
      <w:r>
        <w:rPr/>
      </w:r>
    </w:p>
    <w:p>
      <w:pPr>
        <w:pStyle w:val="BodyText"/>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255" w:leader="none"/>
          <w:tab w:val="left" w:pos="6480" w:leader="none"/>
          <w:tab w:val="left" w:pos="7200" w:leader="none"/>
          <w:tab w:val="left" w:pos="7920" w:leader="none"/>
          <w:tab w:val="left" w:pos="8640" w:leader="none"/>
          <w:tab w:val="left" w:pos="9360" w:leader="none"/>
        </w:tabs>
        <w:spacing w:lineRule="auto" w:line="480"/>
        <w:rPr/>
      </w:pPr>
      <w:r>
        <w:rPr/>
        <w:tab/>
        <w:t>The Plan submitted by MISO in the above captioned docket was developed through a broad stakeholder process.  However, as noted by MISO in its filing, comments of stakeholders sometimes represented conflicting opinions.  As a result, the document reflects MISO’s view of consensus.  EPMI believes that while the document is generally consistent, in spirit, with the key requirements of independence and transparency, it could be improved in the following areas:</w:t>
      </w:r>
    </w:p>
    <w:p>
      <w:pPr>
        <w:pStyle w:val="Normal"/>
        <w:numPr>
          <w:ilvl w:val="0"/>
          <w:numId w:val="2"/>
        </w:numPr>
        <w:autoSpaceDE w:val="false"/>
        <w:spacing w:lineRule="auto" w:line="480"/>
        <w:rPr>
          <w:szCs w:val="20"/>
        </w:rPr>
      </w:pPr>
      <w:r>
        <w:rPr>
          <w:szCs w:val="20"/>
        </w:rPr>
        <w:t>the contractual relationship that the Independent Market Monitor (“IMM”) has with the RTO;</w:t>
      </w:r>
    </w:p>
    <w:p>
      <w:pPr>
        <w:pStyle w:val="Normal"/>
        <w:numPr>
          <w:ilvl w:val="0"/>
          <w:numId w:val="2"/>
        </w:numPr>
        <w:autoSpaceDE w:val="false"/>
        <w:spacing w:lineRule="auto" w:line="480"/>
        <w:rPr>
          <w:szCs w:val="20"/>
        </w:rPr>
      </w:pPr>
      <w:r>
        <w:rPr>
          <w:szCs w:val="20"/>
        </w:rPr>
        <w:t xml:space="preserve">the daily interaction that the IMM has with RTO staff, particularly the relationship with the Market Monitoring Committee (MMC); </w:t>
      </w:r>
    </w:p>
    <w:p>
      <w:pPr>
        <w:pStyle w:val="Normal"/>
        <w:numPr>
          <w:ilvl w:val="0"/>
          <w:numId w:val="2"/>
        </w:numPr>
        <w:autoSpaceDE w:val="false"/>
        <w:spacing w:lineRule="auto" w:line="480"/>
        <w:rPr>
          <w:szCs w:val="20"/>
        </w:rPr>
      </w:pPr>
      <w:r>
        <w:rPr>
          <w:szCs w:val="20"/>
        </w:rPr>
        <w:t>The nature of market monitoring investigations and reporting;</w:t>
      </w:r>
    </w:p>
    <w:p>
      <w:pPr>
        <w:pStyle w:val="BodyText2"/>
        <w:numPr>
          <w:ilvl w:val="0"/>
          <w:numId w:val="2"/>
        </w:numPr>
        <w:rPr>
          <w:rFonts w:cs="Times New Roman"/>
          <w:sz w:val="24"/>
        </w:rPr>
      </w:pPr>
      <w:r>
        <w:rPr>
          <w:rFonts w:cs="Times New Roman"/>
          <w:sz w:val="24"/>
        </w:rPr>
        <w:t>The requirement to waive rights to protest at the Commission the Addendum A list of data.  See Section 6.2.2 (d).</w:t>
      </w:r>
    </w:p>
    <w:p>
      <w:pPr>
        <w:pStyle w:val="BodyText2"/>
        <w:ind w:firstLine="360" w:end="0"/>
        <w:jc w:val="both"/>
        <w:rPr/>
      </w:pPr>
      <w:r>
        <w:rPr>
          <w:rFonts w:cs="Times New Roman"/>
          <w:sz w:val="24"/>
        </w:rPr>
        <w:t>EPMI does not propose amendments to the proposed structures (except for the 2</w:t>
      </w:r>
      <w:r>
        <w:rPr>
          <w:rFonts w:cs="Times New Roman"/>
          <w:sz w:val="24"/>
          <w:vertAlign w:val="superscript"/>
        </w:rPr>
        <w:t>nd</w:t>
      </w:r>
      <w:r>
        <w:rPr>
          <w:rFonts w:cs="Times New Roman"/>
          <w:sz w:val="24"/>
        </w:rPr>
        <w:t xml:space="preserve"> and 4</w:t>
      </w:r>
      <w:r>
        <w:rPr>
          <w:rFonts w:cs="Times New Roman"/>
          <w:sz w:val="24"/>
          <w:vertAlign w:val="superscript"/>
        </w:rPr>
        <w:t>th</w:t>
      </w:r>
      <w:r>
        <w:rPr>
          <w:rFonts w:cs="Times New Roman"/>
          <w:sz w:val="24"/>
        </w:rPr>
        <w:t xml:space="preserve"> points, addressed below).  Instead, it suggests that these areas can be improved by adding a greater degree of transparency to the Plan and using this transparency to mitigate any perceived conflicts of interest that parties may have.  Improved transparency will improve confidence in the market and is in the public interest.</w:t>
      </w:r>
    </w:p>
    <w:p>
      <w:pPr>
        <w:pStyle w:val="Normal"/>
        <w:autoSpaceDE w:val="false"/>
        <w:jc w:val="both"/>
        <w:rPr>
          <w:rFonts w:cs="Times New Roman"/>
          <w:sz w:val="24"/>
          <w:szCs w:val="20"/>
        </w:rPr>
      </w:pPr>
      <w:r>
        <w:rPr>
          <w:rFonts w:cs="Times New Roman"/>
          <w:sz w:val="24"/>
          <w:szCs w:val="20"/>
        </w:rPr>
      </w:r>
    </w:p>
    <w:p>
      <w:pPr>
        <w:pStyle w:val="BodyTextIndent2"/>
        <w:ind w:hanging="360" w:start="1080" w:end="0"/>
        <w:rPr>
          <w:sz w:val="24"/>
          <w:szCs w:val="20"/>
        </w:rPr>
      </w:pPr>
      <w:r>
        <w:rPr>
          <w:sz w:val="24"/>
        </w:rPr>
        <w:t>B.</w:t>
        <w:tab/>
        <w:t xml:space="preserve">The proposed market monitoring plan should be modified with respect to the contractual relationship between the IMM and RTO; the manner in which the IMM interacts daily with RTO staff; and the investigations undertaken by the IMM and the reporting of the results of such investigations. </w:t>
      </w:r>
    </w:p>
    <w:p>
      <w:pPr>
        <w:pStyle w:val="Normal"/>
        <w:autoSpaceDE w:val="false"/>
        <w:spacing w:lineRule="auto" w:line="480"/>
        <w:rPr>
          <w:sz w:val="24"/>
          <w:szCs w:val="20"/>
        </w:rPr>
      </w:pPr>
      <w:r>
        <w:rPr>
          <w:sz w:val="24"/>
          <w:szCs w:val="20"/>
        </w:rPr>
      </w:r>
    </w:p>
    <w:p>
      <w:pPr>
        <w:pStyle w:val="Normal"/>
        <w:autoSpaceDE w:val="false"/>
        <w:spacing w:lineRule="auto" w:line="480"/>
        <w:ind w:firstLine="720" w:end="0"/>
        <w:jc w:val="both"/>
        <w:rPr>
          <w:szCs w:val="20"/>
        </w:rPr>
      </w:pPr>
      <w:r>
        <w:rPr>
          <w:szCs w:val="20"/>
        </w:rPr>
        <w:t xml:space="preserve">As the comments above indicate, independence and transparency are critical hallmarks of a market monitoring process.  In addition, however, market participants should be provided adequate remedies in the event that the transparent view afforded them of the IMM’s or other parties’ actions results in specific concerns.  For the most part, the proposed Plan assures independence and provides the necessary transparency.  EPMI respectfully requests that modifications in three particular areas are warranted:   </w:t>
      </w:r>
    </w:p>
    <w:p>
      <w:pPr>
        <w:pStyle w:val="Normal"/>
        <w:numPr>
          <w:ilvl w:val="0"/>
          <w:numId w:val="5"/>
        </w:numPr>
        <w:autoSpaceDE w:val="false"/>
        <w:spacing w:lineRule="auto" w:line="480"/>
        <w:jc w:val="both"/>
        <w:rPr>
          <w:szCs w:val="20"/>
        </w:rPr>
      </w:pPr>
      <w:r>
        <w:rPr>
          <w:szCs w:val="20"/>
        </w:rPr>
        <w:t>the contractual relationship with the RTO.</w:t>
      </w:r>
    </w:p>
    <w:p>
      <w:pPr>
        <w:pStyle w:val="Normal"/>
        <w:numPr>
          <w:ilvl w:val="0"/>
          <w:numId w:val="5"/>
        </w:numPr>
        <w:autoSpaceDE w:val="false"/>
        <w:spacing w:lineRule="auto" w:line="480"/>
        <w:jc w:val="both"/>
        <w:rPr>
          <w:szCs w:val="20"/>
        </w:rPr>
      </w:pPr>
      <w:r>
        <w:rPr>
          <w:szCs w:val="20"/>
        </w:rPr>
        <w:t>the daily interaction with RTO staff.</w:t>
      </w:r>
    </w:p>
    <w:p>
      <w:pPr>
        <w:pStyle w:val="Normal"/>
        <w:numPr>
          <w:ilvl w:val="0"/>
          <w:numId w:val="5"/>
        </w:numPr>
        <w:autoSpaceDE w:val="false"/>
        <w:spacing w:lineRule="auto" w:line="480"/>
        <w:jc w:val="both"/>
        <w:rPr>
          <w:szCs w:val="20"/>
        </w:rPr>
      </w:pPr>
      <w:r>
        <w:rPr>
          <w:szCs w:val="20"/>
        </w:rPr>
        <w:t>investigations and reporting by the IMM.</w:t>
      </w:r>
    </w:p>
    <w:p>
      <w:pPr>
        <w:pStyle w:val="BodyTextIndent3"/>
        <w:ind w:hanging="360" w:start="1080" w:end="0"/>
        <w:rPr>
          <w:rFonts w:cs="Times New Roman"/>
          <w:sz w:val="24"/>
        </w:rPr>
      </w:pPr>
      <w:r>
        <w:rPr>
          <w:rFonts w:cs="Times New Roman"/>
          <w:sz w:val="24"/>
        </w:rPr>
        <w:t>1.  The proposed contractual relationship between the IMM and the RTO presents a potential conflict of interest that must be addressed in the interest of independence and transparency.</w:t>
      </w:r>
    </w:p>
    <w:p>
      <w:pPr>
        <w:pStyle w:val="Normal"/>
        <w:autoSpaceDE w:val="false"/>
        <w:rPr>
          <w:rFonts w:cs="Times New Roman"/>
          <w:sz w:val="24"/>
          <w:szCs w:val="20"/>
        </w:rPr>
      </w:pPr>
      <w:r>
        <w:rPr>
          <w:rFonts w:cs="Times New Roman"/>
          <w:sz w:val="24"/>
          <w:szCs w:val="20"/>
        </w:rPr>
      </w:r>
    </w:p>
    <w:p>
      <w:pPr>
        <w:pStyle w:val="BodyText2"/>
        <w:ind w:firstLine="720" w:end="0"/>
        <w:jc w:val="both"/>
        <w:rPr>
          <w:rFonts w:cs="Times New Roman"/>
          <w:sz w:val="24"/>
        </w:rPr>
      </w:pPr>
      <w:r>
        <w:rPr>
          <w:rFonts w:cs="Times New Roman"/>
          <w:sz w:val="24"/>
        </w:rPr>
        <w:t>As structured, the Plan provides for a contractual relationship between the IMM and RTO that could be perceived to create a conflict of interest in circumstances in which the IMM is investigating the actions of the RTO itself.  Pursuant to Section 4.1 of the Plan, “The Cooperating RTOs shall retain a firm to be known as the Independent Market Monitor”.  Section 3.2 of the Plan provides that the Market Monitoring Committee (MMC) shall be responsible for administrative oversight of the contractual agreement with the IMM.  Even if EPMI’s concerns regarding the constitution and duties of the MMC are addressed (see below), perceptions of the independence of the contractual parties would be bolstered by assuring transparency of the contractual arrangements as well as a public process for the resolution of disputes between the IMM and the RTO.</w:t>
      </w:r>
    </w:p>
    <w:p>
      <w:pPr>
        <w:pStyle w:val="BodyText2"/>
        <w:ind w:firstLine="720" w:end="0"/>
        <w:jc w:val="both"/>
        <w:rPr>
          <w:rFonts w:cs="Times New Roman"/>
          <w:sz w:val="24"/>
        </w:rPr>
      </w:pPr>
      <w:r>
        <w:rPr>
          <w:rFonts w:cs="Times New Roman"/>
          <w:sz w:val="24"/>
        </w:rPr>
        <w:t>Such enhancements to the Plan are warranted as a result of issues associated with incentives of an IMM to maintain a contractual relationship with the RTO in the long-term, and shorter-term incentives to be compensated pursuant to contractual arrangements.  In the former instance, a potential IMM might choose to enter into contractual arrangements with an RTO that would allow the RTO to participate in investigations undertaken by the IMM, or to read and edit reports prepared by the IMM prior to their issuance.  This concern is particularly troublesome in view of the potential for the IMM to be investigating actions of the RTO itself.  EPMI requests that this potential conflict of interest be mitigated by a requirement in the Plan that the contract (excluding specific payment terms) be publicly available.  The latter concern, that the RTO withhold payments to the IMM in an effort to exert influence over the course of an investigation or an impending report, can be mitigated by ensuring that any disputes between the IMM and the RTO are resolved through a public dispute resolution process overseen by FERC.</w:t>
      </w:r>
    </w:p>
    <w:p>
      <w:pPr>
        <w:pStyle w:val="BodyText2"/>
        <w:numPr>
          <w:ilvl w:val="0"/>
          <w:numId w:val="4"/>
        </w:numPr>
        <w:spacing w:lineRule="auto" w:line="240"/>
        <w:rPr>
          <w:rFonts w:cs="Times New Roman"/>
          <w:b/>
          <w:bCs/>
          <w:sz w:val="24"/>
        </w:rPr>
      </w:pPr>
      <w:r>
        <w:rPr>
          <w:rFonts w:cs="Times New Roman"/>
          <w:b/>
          <w:bCs/>
          <w:sz w:val="24"/>
        </w:rPr>
        <w:t xml:space="preserve">The governance structure of the MMC presents a potential conflict of interest and should be modified in the interest of independence and transparency.   </w:t>
      </w:r>
    </w:p>
    <w:p>
      <w:pPr>
        <w:pStyle w:val="BodyText2"/>
        <w:spacing w:lineRule="auto" w:line="240"/>
        <w:ind w:start="720" w:end="0"/>
        <w:rPr>
          <w:rFonts w:cs="Times New Roman"/>
          <w:b/>
          <w:bCs/>
          <w:sz w:val="24"/>
        </w:rPr>
      </w:pPr>
      <w:r>
        <w:rPr>
          <w:rFonts w:cs="Times New Roman"/>
          <w:b/>
          <w:bCs/>
          <w:sz w:val="24"/>
        </w:rPr>
      </w:r>
    </w:p>
    <w:p>
      <w:pPr>
        <w:pStyle w:val="BodyText2"/>
        <w:ind w:firstLine="720" w:end="0"/>
        <w:jc w:val="both"/>
        <w:rPr/>
      </w:pPr>
      <w:r>
        <w:rPr>
          <w:rFonts w:cs="Times New Roman"/>
          <w:sz w:val="24"/>
        </w:rPr>
        <w:t>The Plan proposes that the MMC, consisting of one representative appointed by each cooperating RTO, be responsible for a variety of functions associated with the routine interaction of the IMM and the RTO staff and Board of Directors.  For example, Section 3.2 of the Plan establishes that the MMC serve as liaison between the IMM and the RTO Boards of Directors; that it support efforts of the IMM to collect necessary data and information from the RTOs; that it coordinate the evaluation of the need for corrective measures, including but not limited to rule or tariff changes; and that it provide comments on issues investigated or analyzed by the IMM related to the factual accuracy of the IMM’s reports.</w:t>
      </w:r>
      <w:r>
        <w:rPr>
          <w:rFonts w:cs="Times New Roman"/>
          <w:b/>
          <w:bCs/>
          <w:sz w:val="24"/>
        </w:rPr>
        <w:t xml:space="preserve"> </w:t>
      </w:r>
    </w:p>
    <w:p>
      <w:pPr>
        <w:pStyle w:val="BodyText2"/>
        <w:ind w:firstLine="720" w:end="0"/>
        <w:jc w:val="both"/>
        <w:rPr>
          <w:rFonts w:cs="Times New Roman"/>
          <w:sz w:val="24"/>
        </w:rPr>
      </w:pPr>
      <w:r>
        <w:rPr>
          <w:rFonts w:cs="Times New Roman"/>
          <w:sz w:val="24"/>
        </w:rPr>
        <w:t>Unfortunately, these responsibilities could be interpreted to suggest that the MMC retains a degree of control over the activities of the IMM that present conflicts of interest.  Details of the routine interactions that would be occasioned by the exercise of these responsibilities are not apparent, and as a result the confidence of market participants in the independence of the IMM is liable to be shaken.  It became clear in the stakeholder process referenced above that this is not the intent of the governance structure; at the same time it was apparent, as evidenced by the vigorous discussion of the issue, that stakeholder concerns remain.</w:t>
      </w:r>
    </w:p>
    <w:p>
      <w:pPr>
        <w:pStyle w:val="BodyText2"/>
        <w:ind w:firstLine="720" w:end="0"/>
        <w:jc w:val="both"/>
        <w:rPr>
          <w:rFonts w:cs="Times New Roman"/>
          <w:sz w:val="24"/>
        </w:rPr>
      </w:pPr>
      <w:r>
        <w:rPr>
          <w:rFonts w:cs="Times New Roman"/>
          <w:sz w:val="24"/>
        </w:rPr>
        <w:t>There is no real need for an MMC as structured.  In the alternative, EPMI respectfully proposes two alternatives to mitigate these concerns regarding the independence of the market monitor.  The preferred alternative is to provide for an MMC constituted of members who are not associated with the RTOs nor with any other market participant.  The MMC could be comprised of three members, who shall not have been at any time within five years of election to the MMC a director, officer or employee of any market participant or affiliate, including a participating RTO.  While on the MMC a member should have no direct business relationship or other affiliation with a participating RTO, RTO member or any other market participant, nor any other business relationship that could interfere with the exercise of independence.  The members of the MMC should collectively have expertise and experience in the following areas:  economics or finance; energy commodities marketing or trading; electric market design; antitrust law or economics; and energy regulation.  By establishing an MMC that is itself truly independent of participating RTOs and any market participants, confidence in the independence of the IMM will be sustained.</w:t>
      </w:r>
    </w:p>
    <w:p>
      <w:pPr>
        <w:pStyle w:val="BodyText2"/>
        <w:ind w:firstLine="720" w:end="0"/>
        <w:jc w:val="both"/>
        <w:rPr>
          <w:rFonts w:cs="Times New Roman"/>
          <w:sz w:val="24"/>
        </w:rPr>
      </w:pPr>
      <w:r>
        <w:rPr>
          <w:rFonts w:cs="Times New Roman"/>
          <w:sz w:val="24"/>
        </w:rPr>
        <w:t xml:space="preserve">A second, albeit less acceptable alternative would be to improve the transparency of the MMC’s activities by requiring the documentation of interactions between the IMM and the MMC, and concomitant recourse of market participants to seek remedies in the event they believe that the MMC has unduly interfered with the activities of the IMM.  EPMI suggests that this alternative is less satisfactory on two counts: on the one hand it creates an administrative burden that otherwise would not be required to be endured, and on the other it does not guarantee that undue interference would be adequately noticed.  Nevertheless, in the event that the Commission does not countenance the preferred alternative, EPMI suggests that transparency be improved with the following modifications to the Plan.  First, the Plan should be modified to ensure that all interactions between the IMM and MMC are noticed, with minutes taken and publicly released.  Second, the Plan should be modified to ensure that all meetings and actions of the MMC, including the MMC’s exercise of its responsibility pursuant to Sections 3.2 (4) and (5) of the Plan to coordinate the evaluation of need for corrective measures and to provide comments on the factual accuracy of the IMM’s reports, are likewise noticed and with minutes prepared and publicly released.  Third, the Plan should be modified to provide market participants the right to seek remedies from the Commission in the event they believe the MMC has attempted to compromise the independence of the IMM.  </w:t>
      </w:r>
    </w:p>
    <w:p>
      <w:pPr>
        <w:pStyle w:val="Normal"/>
        <w:autoSpaceDE w:val="false"/>
        <w:ind w:hanging="360" w:start="1080" w:end="0"/>
        <w:rPr>
          <w:b/>
          <w:bCs/>
          <w:szCs w:val="20"/>
        </w:rPr>
      </w:pPr>
      <w:r>
        <w:rPr>
          <w:b/>
          <w:bCs/>
          <w:szCs w:val="20"/>
        </w:rPr>
        <w:t>3.  All investigations, requests for analysis or investigation of the RTO, and reports issued by the IMM of RTO activity should be noticed and released to the public, and its internal policies should likewise be a matter of public record.</w:t>
      </w:r>
    </w:p>
    <w:p>
      <w:pPr>
        <w:pStyle w:val="Normal"/>
        <w:autoSpaceDE w:val="false"/>
        <w:rPr>
          <w:b/>
          <w:bCs/>
          <w:szCs w:val="20"/>
        </w:rPr>
      </w:pPr>
      <w:r>
        <w:rPr>
          <w:b/>
          <w:bCs/>
          <w:szCs w:val="20"/>
        </w:rPr>
      </w:r>
    </w:p>
    <w:p>
      <w:pPr>
        <w:pStyle w:val="BodyText2"/>
        <w:ind w:firstLine="720" w:end="0"/>
        <w:jc w:val="both"/>
        <w:rPr/>
      </w:pPr>
      <w:r>
        <w:rPr>
          <w:rFonts w:cs="Times New Roman"/>
          <w:sz w:val="24"/>
        </w:rPr>
        <w:t xml:space="preserve">All investigations, requests for analysis or investigation and IMM reports on the RTO should be noted and released to the public.  While the degree of detail released to the public should vary, </w:t>
      </w:r>
      <w:r>
        <w:rPr>
          <w:rFonts w:cs="Times New Roman"/>
          <w:sz w:val="24"/>
          <w:u w:val="single"/>
        </w:rPr>
        <w:t>e.g</w:t>
      </w:r>
      <w:r>
        <w:rPr>
          <w:rFonts w:cs="Times New Roman"/>
          <w:sz w:val="24"/>
        </w:rPr>
        <w:t>. to reflect concerns over confidentiality for market participants or unwarranted impacts on market participants, the availability of public records documenting the IMM’s decisions to pursue investigations of the RTO and the availability of the results of those RTO investigations will increase transparency.  Accordingly, if the IMM were asked to investigate RTO action, or unilaterally chose to do so, the IMM should publicly note that an investigation of the RTO has been requested and/or commenced.  The IMM need not release the name of the requesting party nor the nature of the investigation.  Upon completion of its analysis or the closing of an investigation the IMM should be required to note the event publicly.  Furthermore, the IMM should be required to reveal publicly that it is writing a report on the RTO subsequent to an investigation, and the nature of any investigation should become public upon the release of the IMM’s report.  Finally, IMM reports should be available to all parties simultaneously upon their release.  It should also publicly note that it has completed such analysis and the investigation is closed or that it is writing a report.  When the report is released, the investigation becomes public.</w:t>
      </w:r>
    </w:p>
    <w:p>
      <w:pPr>
        <w:pStyle w:val="BodyText2"/>
        <w:ind w:firstLine="720" w:end="0"/>
        <w:jc w:val="both"/>
        <w:rPr>
          <w:rFonts w:cs="Times New Roman"/>
          <w:sz w:val="24"/>
        </w:rPr>
      </w:pPr>
      <w:r>
        <w:rPr>
          <w:rFonts w:cs="Times New Roman"/>
          <w:sz w:val="24"/>
        </w:rPr>
        <w:t>EPMI also requests that transparency of the market monitoring process be improved by requiring that all IMM and MMC internal policies be a matter of public record.  Section 4.2 of the Plan, for example, requires that the MMC adopt a policy on conflicts of interest for the IMM that would establish appropriate standards for the IMM’s professional and financial independence.  It also requires that the IMM adopt ethics policies and standards for its employees and subcontractors.  Section 6.5 (a) of the Plan requires that the IMM adopt schedules for the period destruction of information in its possession no longer deemed necessary for the purposes of the Plan.  These and other internal policies and procedures of the IMM and the MMC should be matters of public record.</w:t>
      </w:r>
    </w:p>
    <w:p>
      <w:pPr>
        <w:pStyle w:val="BodyText2"/>
        <w:numPr>
          <w:ilvl w:val="0"/>
          <w:numId w:val="3"/>
        </w:numPr>
        <w:spacing w:lineRule="auto" w:line="240"/>
        <w:rPr>
          <w:rFonts w:cs="Times New Roman"/>
          <w:b/>
          <w:bCs/>
          <w:sz w:val="24"/>
        </w:rPr>
      </w:pPr>
      <w:r>
        <w:rPr>
          <w:rFonts w:cs="Times New Roman"/>
          <w:b/>
          <w:bCs/>
          <w:sz w:val="24"/>
        </w:rPr>
        <w:t>Once implemented, IMM and MMC compliance with the measures proposed above in Section B of this pleading should be evaluated annually in an audit process.</w:t>
      </w:r>
    </w:p>
    <w:p>
      <w:pPr>
        <w:pStyle w:val="BodyText2"/>
        <w:spacing w:lineRule="auto" w:line="240"/>
        <w:ind w:start="360" w:end="0"/>
        <w:rPr>
          <w:rFonts w:cs="Times New Roman"/>
          <w:b/>
          <w:bCs/>
          <w:sz w:val="24"/>
        </w:rPr>
      </w:pPr>
      <w:r>
        <w:rPr>
          <w:rFonts w:cs="Times New Roman"/>
          <w:b/>
          <w:bCs/>
          <w:sz w:val="24"/>
        </w:rPr>
      </w:r>
    </w:p>
    <w:p>
      <w:pPr>
        <w:pStyle w:val="BodyText2"/>
        <w:ind w:firstLine="360" w:end="0"/>
        <w:jc w:val="both"/>
        <w:rPr>
          <w:rFonts w:cs="Times New Roman"/>
          <w:sz w:val="24"/>
        </w:rPr>
      </w:pPr>
      <w:r>
        <w:rPr>
          <w:rFonts w:cs="Times New Roman"/>
          <w:sz w:val="24"/>
        </w:rPr>
        <w:t>Independence and transparency are critical hallmarks of an effective market monitoring process.  Market participants must be assured that those aspects of the Plan designed to assure the independence of the IMM and to increase transparency are adequately implemented.  As such, the Plan should be amended to require that the IMM and the MMC are subject to an annual audit to assure their compliance with the Plan.  If market participants retain residual concerns regarding conflicts of interest, as a direct result of an audit or despite the audit, they should have the right to enter into dispute proceedings before FERC as well as to retain other legal remedies. EPMI objects to Section 11 (b) of the Plan, which would provide that disputes as to the implementation of or compliance with the Plan be subject to the dispute resolution procedures of the individual cooperating RTOs.  Sanguine perceptions of the independence of the IMM and the transparency of the market monitoring process require that FERC be the arbiter of any disputes regarding Plan implementation or compliance.</w:t>
      </w:r>
    </w:p>
    <w:p>
      <w:pPr>
        <w:pStyle w:val="Normal"/>
        <w:numPr>
          <w:ilvl w:val="0"/>
          <w:numId w:val="6"/>
        </w:numPr>
        <w:autoSpaceDE w:val="false"/>
        <w:ind w:hanging="389" w:start="1469" w:end="0"/>
        <w:rPr>
          <w:b/>
          <w:bCs/>
          <w:szCs w:val="20"/>
        </w:rPr>
      </w:pPr>
      <w:r>
        <w:rPr>
          <w:b/>
          <w:bCs/>
          <w:szCs w:val="20"/>
        </w:rPr>
        <w:t xml:space="preserve">Market Participants should not be required to waive their </w:t>
      </w:r>
      <w:r>
        <w:rPr>
          <w:b/>
          <w:bCs/>
        </w:rPr>
        <w:t>to protest at the Commission the Addendum A list of data.  See Section 6.2.2 (d).</w:t>
      </w:r>
    </w:p>
    <w:p>
      <w:pPr>
        <w:pStyle w:val="Normal"/>
        <w:autoSpaceDE w:val="false"/>
        <w:ind w:start="1080" w:end="0"/>
        <w:rPr>
          <w:b/>
          <w:bCs/>
          <w:szCs w:val="20"/>
        </w:rPr>
      </w:pPr>
      <w:r>
        <w:rPr>
          <w:b/>
          <w:bCs/>
          <w:szCs w:val="20"/>
        </w:rPr>
      </w:r>
    </w:p>
    <w:p>
      <w:pPr>
        <w:pStyle w:val="Normal"/>
        <w:autoSpaceDE w:val="false"/>
        <w:spacing w:lineRule="auto" w:line="480"/>
        <w:ind w:firstLine="720" w:end="0"/>
        <w:jc w:val="both"/>
        <w:rPr>
          <w:szCs w:val="20"/>
        </w:rPr>
      </w:pPr>
      <w:r>
        <w:rPr>
          <w:szCs w:val="20"/>
        </w:rPr>
        <w:t>The Plan requires a Market Participant to agree to provide the Addendum A data to the IMM without the ability to contest the request at the Commission.  This provision should be changed to allow Market Participants the right to contest the request.  The IMM can seek expedited treatment by the Commission; however, it in inappropriate to require Market Participants to waive this right.</w:t>
      </w:r>
    </w:p>
    <w:p>
      <w:pPr>
        <w:pStyle w:val="Normal"/>
        <w:numPr>
          <w:ilvl w:val="0"/>
          <w:numId w:val="6"/>
        </w:numPr>
        <w:autoSpaceDE w:val="false"/>
        <w:spacing w:lineRule="auto" w:line="480"/>
        <w:rPr>
          <w:b/>
          <w:bCs/>
          <w:szCs w:val="20"/>
        </w:rPr>
      </w:pPr>
      <w:r>
        <w:rPr>
          <w:b/>
          <w:bCs/>
          <w:szCs w:val="20"/>
        </w:rPr>
        <w:t>The Plan should be clarified in several other respects.</w:t>
      </w:r>
    </w:p>
    <w:p>
      <w:pPr>
        <w:pStyle w:val="Normal"/>
        <w:autoSpaceDE w:val="false"/>
        <w:spacing w:lineRule="auto" w:line="480"/>
        <w:ind w:firstLine="720" w:end="0"/>
        <w:jc w:val="both"/>
        <w:rPr>
          <w:b/>
          <w:bCs/>
          <w:szCs w:val="20"/>
        </w:rPr>
      </w:pPr>
      <w:r>
        <w:rPr>
          <w:szCs w:val="20"/>
        </w:rPr>
        <w:t>In the last paragraph of Section 1.1 of the Plan, there is a reference to  “comprehensive information on all the physical and final positions of a participant.”  The word “final” in that phrase should be replaced with the word “financial.”  Section 1.3 of the Plan identifies those persons and entities subject to the Plan.  These should also include transmission owners, independent transmission companies (ITCs) and any other market participant within the footprint of the participating RTOs.</w:t>
      </w:r>
    </w:p>
    <w:p>
      <w:pPr>
        <w:pStyle w:val="TitleStyle"/>
        <w:widowControl/>
        <w:ind w:start="360" w:end="0"/>
        <w:jc w:val="both"/>
        <w:rPr>
          <w:rFonts w:ascii="Times New Roman" w:hAnsi="Times New Roman" w:cs="Times New Roman"/>
          <w:b w:val="false"/>
        </w:rPr>
      </w:pPr>
      <w:r>
        <w:rPr>
          <w:rFonts w:cs="Times New Roman" w:ascii="Times New Roman" w:hAnsi="Times New Roman"/>
          <w:b w:val="false"/>
        </w:rPr>
        <w:tab/>
      </w:r>
      <w:r>
        <w:br w:type="page"/>
      </w:r>
    </w:p>
    <w:p>
      <w:pPr>
        <w:pStyle w:val="TitleStyle"/>
        <w:widowControl/>
        <w:ind w:start="360" w:end="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VI.</w:t>
      </w:r>
    </w:p>
    <w:p>
      <w:pPr>
        <w:pStyle w:val="TitleStyle"/>
        <w:widowControl/>
        <w:rPr>
          <w:rFonts w:ascii="Times New Roman" w:hAnsi="Times New Roman" w:cs="Times New Roman"/>
          <w:caps w:val="false"/>
          <w:smallCaps w:val="false"/>
          <w:u w:val="single"/>
        </w:rPr>
      </w:pPr>
      <w:r>
        <w:rPr>
          <w:rFonts w:cs="Times New Roman" w:ascii="Times New Roman" w:hAnsi="Times New Roman"/>
          <w:caps w:val="false"/>
          <w:smallCaps w:val="false"/>
          <w:u w:val="single"/>
        </w:rPr>
        <w:t>CONCLUSION</w:t>
      </w:r>
    </w:p>
    <w:p>
      <w:pPr>
        <w:pStyle w:val="TitleStyle"/>
        <w:widowControl/>
        <w:rPr>
          <w:rFonts w:ascii="Times New Roman" w:hAnsi="Times New Roman" w:cs="Times New Roman"/>
          <w:b w:val="false"/>
          <w:caps w:val="false"/>
          <w:smallCaps w:val="false"/>
          <w:u w:val="single"/>
        </w:rPr>
      </w:pPr>
      <w:r>
        <w:rPr>
          <w:rFonts w:cs="Times New Roman" w:ascii="Times New Roman" w:hAnsi="Times New Roman"/>
          <w:b w:val="false"/>
          <w:caps w:val="false"/>
          <w:smallCaps w:val="false"/>
          <w:u w:val="singl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EPMI  has been impressed by the high level of integrity shown by Potomac Economics, represented by David Patton, and the MISO in developing the filed market monitoring plan.  EPMI believes that with the modifications proposed above, the market monitoring plan will evidence the independence of the IMM and provide the required levels of transparency to ensure that the IMM will both be able to do its job effectively and minimize perceived conflicts of interest.</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ab/>
        <w:tab/>
        <w:tab/>
        <w:tab/>
        <w:tab/>
        <w:t xml:space="preserve">Respectfully submitted, </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ab/>
        <w:tab/>
        <w:tab/>
        <w:tab/>
        <w:tab/>
        <w:tab/>
      </w:r>
    </w:p>
    <w:p>
      <w:pPr>
        <w:pStyle w:val="Normal"/>
        <w:spacing w:lineRule="auto" w:line="214"/>
        <w:ind w:firstLine="4320" w:end="0"/>
        <w:jc w:val="both"/>
        <w:rPr/>
      </w:pPr>
      <w:r>
        <w:rPr>
          <w:szCs w:val="22"/>
          <w:u w:val="single"/>
        </w:rPr>
        <w:t>\s\  Christi L. Nicolay</w:t>
      </w:r>
      <w:r>
        <w:rPr>
          <w:szCs w:val="22"/>
        </w:rPr>
        <w:t>_________</w:t>
      </w:r>
    </w:p>
    <w:p>
      <w:pPr>
        <w:pStyle w:val="Normal"/>
        <w:spacing w:lineRule="auto" w:line="214"/>
        <w:ind w:firstLine="720" w:end="0"/>
        <w:jc w:val="both"/>
        <w:rPr/>
      </w:pPr>
      <w:r>
        <w:rPr/>
        <w:tab/>
        <w:tab/>
        <w:tab/>
        <w:tab/>
        <w:tab/>
        <w:tab/>
        <w:t>Christi L. Nicolay</w:t>
      </w:r>
    </w:p>
    <w:p>
      <w:pPr>
        <w:pStyle w:val="Normal"/>
        <w:spacing w:lineRule="auto" w:line="214"/>
        <w:ind w:firstLine="720" w:start="2160" w:end="0"/>
        <w:jc w:val="both"/>
        <w:rPr/>
      </w:pPr>
      <w:r>
        <w:rPr/>
        <w:tab/>
        <w:tab/>
        <w:tab/>
        <w:t>Federal Regulatory Affairs</w:t>
      </w:r>
    </w:p>
    <w:p>
      <w:pPr>
        <w:pStyle w:val="Normal"/>
        <w:tabs>
          <w:tab w:val="clear" w:pos="720"/>
          <w:tab w:val="left" w:pos="-1440" w:leader="none"/>
        </w:tabs>
        <w:spacing w:lineRule="auto" w:line="214"/>
        <w:ind w:hanging="4320" w:start="5040" w:end="0"/>
        <w:jc w:val="both"/>
        <w:rPr/>
      </w:pPr>
      <w:r>
        <w:rPr/>
        <w:tab/>
        <w:t>Enron Corp.</w:t>
      </w:r>
    </w:p>
    <w:p>
      <w:pPr>
        <w:pStyle w:val="Normal"/>
        <w:spacing w:lineRule="auto" w:line="214"/>
        <w:ind w:firstLine="720" w:start="2880" w:end="0"/>
        <w:jc w:val="both"/>
        <w:rPr/>
      </w:pPr>
      <w:r>
        <w:rPr/>
        <w:tab/>
        <w:tab/>
        <w:t>1400 Smith Street</w:t>
      </w:r>
    </w:p>
    <w:p>
      <w:pPr>
        <w:pStyle w:val="Normal"/>
        <w:tabs>
          <w:tab w:val="clear" w:pos="720"/>
          <w:tab w:val="left" w:pos="-1440" w:leader="none"/>
        </w:tabs>
        <w:spacing w:lineRule="auto" w:line="214"/>
        <w:ind w:hanging="2880" w:start="3600" w:end="0"/>
        <w:jc w:val="both"/>
        <w:rPr/>
      </w:pPr>
      <w:r>
        <w:rPr/>
        <w:tab/>
        <w:tab/>
        <w:tab/>
        <w:t>Houston, TX   77002</w:t>
      </w:r>
    </w:p>
    <w:p>
      <w:pPr>
        <w:pStyle w:val="Normal"/>
        <w:spacing w:lineRule="auto" w:line="214"/>
        <w:ind w:firstLine="720" w:start="1440" w:end="0"/>
        <w:jc w:val="both"/>
        <w:rPr/>
      </w:pPr>
      <w:r>
        <w:rPr/>
        <w:tab/>
        <w:tab/>
        <w:tab/>
        <w:tab/>
        <w:t>(713) 853-7007</w:t>
      </w:r>
    </w:p>
    <w:p>
      <w:pPr>
        <w:pStyle w:val="Normal"/>
        <w:spacing w:lineRule="auto" w:line="214"/>
        <w:ind w:firstLine="720" w:start="1440" w:end="0"/>
        <w:jc w:val="both"/>
        <w:rPr/>
      </w:pPr>
      <w:r>
        <w:rPr/>
        <w:tab/>
        <w:tab/>
        <w:tab/>
        <w:tab/>
        <w:t>(713) 646-8160 (fax)</w:t>
      </w:r>
    </w:p>
    <w:p>
      <w:pPr>
        <w:pStyle w:val="Normal"/>
        <w:spacing w:lineRule="auto" w:line="214"/>
        <w:ind w:firstLine="720" w:start="3600" w:end="0"/>
        <w:jc w:val="both"/>
        <w:rPr/>
      </w:pPr>
      <w:r>
        <w:rPr/>
        <w:tab/>
        <w:t>christi.nicolay@enron.com</w:t>
      </w:r>
    </w:p>
    <w:p>
      <w:pPr>
        <w:pStyle w:val="Normal"/>
        <w:jc w:val="both"/>
        <w:rPr/>
      </w:pPr>
      <w:r>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t>November 5, 2001</w:t>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TitleStyle"/>
        <w:widowControl/>
        <w:spacing w:lineRule="auto" w:line="480"/>
        <w:jc w:val="both"/>
        <w:rPr>
          <w:rFonts w:ascii="Times New Roman" w:hAnsi="Times New Roman" w:cs="Times New Roman"/>
          <w:b w:val="false"/>
          <w:caps w:val="false"/>
          <w:smallCaps w:val="false"/>
        </w:rPr>
      </w:pPr>
      <w:r>
        <w:rPr>
          <w:rFonts w:cs="Times New Roman" w:ascii="Times New Roman" w:hAnsi="Times New Roman"/>
          <w:b w:val="false"/>
          <w:caps w:val="false"/>
          <w:smallCaps w:val="false"/>
        </w:rPr>
      </w:r>
    </w:p>
    <w:p>
      <w:pPr>
        <w:pStyle w:val="Footer"/>
        <w:tabs>
          <w:tab w:val="clear" w:pos="4320"/>
          <w:tab w:val="clear" w:pos="8640"/>
        </w:tabs>
        <w:rPr/>
      </w:pPr>
      <w:r>
        <w:rPr/>
        <w:b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Normal"/>
        <w:jc w:val="center"/>
        <w:rPr>
          <w:b/>
        </w:rPr>
      </w:pPr>
      <w:r>
        <w:rPr>
          <w:b/>
        </w:rPr>
        <mc:AlternateContent>
          <mc:Choice Requires="wps">
            <w:drawing>
              <wp:anchor behindDoc="0" distT="0" distB="0" distL="114935" distR="114935" simplePos="0" locked="0" layoutInCell="1" allowOverlap="1" relativeHeight="3">
                <wp:simplePos x="0" y="0"/>
                <wp:positionH relativeFrom="column">
                  <wp:posOffset>-822960</wp:posOffset>
                </wp:positionH>
                <wp:positionV relativeFrom="paragraph">
                  <wp:posOffset>635</wp:posOffset>
                </wp:positionV>
                <wp:extent cx="91440" cy="91440"/>
                <wp:effectExtent l="5080" t="5080" r="5715" b="5715"/>
                <wp:wrapNone/>
                <wp:docPr id="2"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5"/>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6" o:detectmouseclick="t" type="tile" color2="black"/>
                <v:stroke color="white" weight="9360" joinstyle="round" endcap="flat"/>
                <w10:wrap type="none"/>
              </v:shape>
            </w:pict>
          </mc:Fallback>
        </mc:AlternateContent>
      </w:r>
      <w:r>
        <w:rPr>
          <w:b/>
        </w:rPr>
        <w:t>UNITED STATES OF AMERICA</w:t>
      </w:r>
    </w:p>
    <w:p>
      <w:pPr>
        <w:pStyle w:val="Center"/>
        <w:widowControl/>
        <w:spacing w:lineRule="auto" w:line="240" w:before="0" w:after="0"/>
        <w:rPr>
          <w:rFonts w:ascii="Times New Roman" w:hAnsi="Times New Roman" w:cs="Times New Roman"/>
          <w:b/>
        </w:rPr>
      </w:pPr>
      <w:r>
        <w:rPr>
          <w:rFonts w:cs="Times New Roman" w:ascii="Times New Roman" w:hAnsi="Times New Roman"/>
          <w:b/>
        </w:rPr>
        <w:t>BEFORE THE</w:t>
      </w:r>
    </w:p>
    <w:p>
      <w:pPr>
        <w:pStyle w:val="Normal"/>
        <w:jc w:val="center"/>
        <w:rPr>
          <w:b/>
        </w:rPr>
      </w:pPr>
      <w:r>
        <w:rPr>
          <w:b/>
        </w:rPr>
        <w:t>FEDERAL ENERGY REGULATORY COMMISSION</w:t>
      </w:r>
    </w:p>
    <w:p>
      <w:pPr>
        <w:pStyle w:val="Normal"/>
        <w:spacing w:lineRule="auto" w:line="480"/>
        <w:jc w:val="center"/>
        <w:rPr/>
      </w:pPr>
      <w:r>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snapToGrid w:val="false"/>
              <w:spacing w:lineRule="auto" w:line="480"/>
              <w:jc w:val="center"/>
              <w:rPr/>
            </w:pPr>
            <w:r>
              <w:rPr/>
            </w:r>
          </w:p>
          <w:tbl>
            <w:tblPr>
              <w:tblW w:w="9576" w:type="dxa"/>
              <w:jc w:val="start"/>
              <w:tblInd w:w="8"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rPr>
                  </w:pPr>
                  <w:r>
                    <w:rPr>
                      <w:b/>
                    </w:rPr>
                    <w:t>Midwest Independent Transmission System Operator, Inc (‘MISO’)</w:t>
                  </w:r>
                </w:p>
                <w:p>
                  <w:pPr>
                    <w:pStyle w:val="Normal"/>
                    <w:rPr>
                      <w:b/>
                    </w:rPr>
                  </w:pPr>
                  <w:r>
                    <w:rPr>
                      <w:b/>
                    </w:rPr>
                  </w:r>
                </w:p>
                <w:p>
                  <w:pPr>
                    <w:pStyle w:val="Normal"/>
                    <w:rPr>
                      <w:b/>
                    </w:rPr>
                  </w:pPr>
                  <w:r>
                    <w:rPr>
                      <w:b/>
                    </w:rPr>
                  </w:r>
                </w:p>
              </w:tc>
              <w:tc>
                <w:tcPr>
                  <w:tcW w:w="1530" w:type="dxa"/>
                  <w:tcBorders/>
                </w:tcPr>
                <w:p>
                  <w:pPr>
                    <w:pStyle w:val="Normal"/>
                    <w:spacing w:lineRule="auto" w:line="480"/>
                    <w:jc w:val="center"/>
                    <w:rPr>
                      <w:b/>
                    </w:rPr>
                  </w:pPr>
                  <w:r>
                    <w:rPr>
                      <w:b/>
                    </w:rPr>
                    <w:t>)</w:t>
                  </w:r>
                </w:p>
              </w:tc>
              <w:tc>
                <w:tcPr>
                  <w:tcW w:w="3798" w:type="dxa"/>
                  <w:tcBorders/>
                </w:tcPr>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Docket No. ER02-108-000</w:t>
                  </w:r>
                </w:p>
              </w:tc>
            </w:tr>
          </w:tbl>
          <w:p>
            <w:pPr>
              <w:pStyle w:val="Normal"/>
              <w:rPr>
                <w:b/>
              </w:rPr>
            </w:pPr>
            <w:r>
              <w:rPr>
                <w:b/>
              </w:rPr>
            </w:r>
          </w:p>
        </w:tc>
        <w:tc>
          <w:tcPr>
            <w:tcW w:w="1530" w:type="dxa"/>
            <w:tcBorders/>
          </w:tcPr>
          <w:p>
            <w:pPr>
              <w:pStyle w:val="Normal"/>
              <w:snapToGrid w:val="false"/>
              <w:spacing w:lineRule="auto" w:line="480"/>
              <w:jc w:val="center"/>
              <w:rPr>
                <w:b/>
              </w:rPr>
            </w:pPr>
            <w:r>
              <w:rPr>
                <w:b/>
              </w:rPr>
            </w:r>
          </w:p>
        </w:tc>
        <w:tc>
          <w:tcPr>
            <w:tcW w:w="3798" w:type="dxa"/>
            <w:tcBorders/>
          </w:tcPr>
          <w:p>
            <w:pPr>
              <w:pStyle w:val="TitleStyle"/>
              <w:widowControl/>
              <w:snapToGrid w:val="false"/>
              <w:rPr>
                <w:rFonts w:ascii="Times New Roman" w:hAnsi="Times New Roman" w:cs="Times New Roman"/>
                <w:b/>
                <w:caps w:val="false"/>
                <w:smallCaps w:val="false"/>
              </w:rPr>
            </w:pPr>
            <w:r>
              <w:rPr>
                <w:rFonts w:cs="Times New Roman" w:ascii="Times New Roman" w:hAnsi="Times New Roman"/>
                <w:b/>
                <w:caps w:val="false"/>
                <w:smallCaps w:val="false"/>
              </w:rPr>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r>
          </w:p>
          <w:p>
            <w:pPr>
              <w:pStyle w:val="TitleStyle"/>
              <w:widowControl/>
              <w:rPr>
                <w:rFonts w:ascii="Times New Roman" w:hAnsi="Times New Roman" w:cs="Times New Roman"/>
                <w:caps w:val="false"/>
                <w:smallCaps w:val="false"/>
              </w:rPr>
            </w:pPr>
            <w:r>
              <w:rPr>
                <w:rFonts w:cs="Times New Roman" w:ascii="Times New Roman" w:hAnsi="Times New Roman"/>
                <w:caps w:val="false"/>
                <w:smallCaps w:val="false"/>
              </w:rPr>
              <w:t>ER02-108-000</w:t>
            </w:r>
          </w:p>
        </w:tc>
      </w:tr>
    </w:tbl>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Footer"/>
        <w:tabs>
          <w:tab w:val="clear" w:pos="4320"/>
          <w:tab w:val="clear" w:pos="8640"/>
        </w:tabs>
        <w:rPr/>
      </w:pPr>
      <w:r>
        <w:rPr/>
      </w:r>
    </w:p>
    <w:p>
      <w:pPr>
        <w:pStyle w:val="Normal"/>
        <w:tabs>
          <w:tab w:val="clear" w:pos="720"/>
          <w:tab w:val="center" w:pos="4680" w:leader="none"/>
        </w:tabs>
        <w:spacing w:lineRule="auto" w:line="214"/>
        <w:jc w:val="both"/>
        <w:rPr/>
      </w:pPr>
      <w:r>
        <w:rPr>
          <w:b/>
          <w:bCs/>
        </w:rPr>
        <w:tab/>
      </w:r>
      <w:r>
        <w:rPr>
          <w:b/>
          <w:bCs/>
          <w:szCs w:val="22"/>
        </w:rPr>
        <w:t>CERTIFICATE OF SERVICE</w:t>
      </w:r>
    </w:p>
    <w:p>
      <w:pPr>
        <w:pStyle w:val="Normal"/>
        <w:spacing w:lineRule="auto" w:line="214"/>
        <w:jc w:val="both"/>
        <w:rPr>
          <w:b/>
          <w:bCs/>
          <w:szCs w:val="22"/>
        </w:rPr>
      </w:pPr>
      <w:r>
        <w:rPr>
          <w:b/>
          <w:bCs/>
          <w:szCs w:val="22"/>
        </w:rPr>
      </w:r>
    </w:p>
    <w:p>
      <w:pPr>
        <w:pStyle w:val="Normal"/>
        <w:spacing w:lineRule="auto" w:line="480"/>
        <w:ind w:firstLine="720" w:end="0"/>
        <w:jc w:val="both"/>
        <w:rPr>
          <w:szCs w:val="22"/>
        </w:rPr>
      </w:pPr>
      <w:r>
        <w:rPr>
          <w:szCs w:val="22"/>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uto" w:line="480"/>
        <w:jc w:val="both"/>
        <w:rPr>
          <w:szCs w:val="22"/>
        </w:rPr>
      </w:pPr>
      <w:r>
        <w:rPr>
          <w:szCs w:val="22"/>
        </w:rPr>
      </w:r>
    </w:p>
    <w:p>
      <w:pPr>
        <w:pStyle w:val="Normal"/>
        <w:spacing w:lineRule="auto" w:line="480"/>
        <w:ind w:firstLine="720" w:end="0"/>
        <w:jc w:val="both"/>
        <w:rPr>
          <w:szCs w:val="22"/>
        </w:rPr>
      </w:pPr>
      <w:r>
        <w:rPr>
          <w:szCs w:val="22"/>
        </w:rPr>
        <w:t>Dated at Washington, D.C., this 5th day of November 2001.</w:t>
      </w:r>
    </w:p>
    <w:p>
      <w:pPr>
        <w:pStyle w:val="Normal"/>
        <w:spacing w:lineRule="auto" w:line="214"/>
        <w:jc w:val="both"/>
        <w:rPr>
          <w:szCs w:val="22"/>
        </w:rPr>
      </w:pPr>
      <w:r>
        <w:rPr>
          <w:szCs w:val="22"/>
        </w:rPr>
      </w:r>
    </w:p>
    <w:p>
      <w:pPr>
        <w:pStyle w:val="Normal"/>
        <w:spacing w:lineRule="auto" w:line="214"/>
        <w:jc w:val="both"/>
        <w:rPr>
          <w:szCs w:val="22"/>
        </w:rPr>
      </w:pPr>
      <w:r>
        <w:rPr>
          <w:szCs w:val="22"/>
        </w:rPr>
      </w:r>
    </w:p>
    <w:p>
      <w:pPr>
        <w:pStyle w:val="Normal"/>
        <w:spacing w:lineRule="auto" w:line="214"/>
        <w:ind w:firstLine="4320" w:end="0"/>
        <w:jc w:val="both"/>
        <w:rPr>
          <w:szCs w:val="22"/>
          <w:u w:val="single"/>
        </w:rPr>
      </w:pPr>
      <w:r>
        <w:rPr>
          <w:szCs w:val="22"/>
          <w:u w:val="single"/>
        </w:rPr>
        <w:t>\s\ Christi L. Nicolay____________</w:t>
      </w:r>
    </w:p>
    <w:p>
      <w:pPr>
        <w:pStyle w:val="Normal"/>
        <w:spacing w:lineRule="auto" w:line="214"/>
        <w:ind w:firstLine="720" w:start="3600" w:end="0"/>
        <w:jc w:val="both"/>
        <w:rPr/>
      </w:pPr>
      <w:r>
        <w:rPr/>
        <w:t>Christi L. Nicolay</w:t>
      </w:r>
    </w:p>
    <w:p>
      <w:pPr>
        <w:pStyle w:val="Normal"/>
        <w:spacing w:lineRule="auto" w:line="214"/>
        <w:ind w:firstLine="4320" w:end="0"/>
        <w:jc w:val="both"/>
        <w:rPr>
          <w:szCs w:val="22"/>
        </w:rPr>
      </w:pPr>
      <w:r>
        <w:rPr>
          <w:szCs w:val="22"/>
          <w:u w:val="single"/>
        </w:rPr>
        <w:t xml:space="preserve">                                               </w:t>
      </w:r>
    </w:p>
    <w:p>
      <w:pPr>
        <w:pStyle w:val="Normal"/>
        <w:spacing w:lineRule="auto" w:line="214"/>
        <w:jc w:val="both"/>
        <w:rPr>
          <w:szCs w:val="22"/>
        </w:rPr>
      </w:pPr>
      <w:r>
        <w:rPr>
          <w:szCs w:val="22"/>
        </w:rPr>
      </w:r>
    </w:p>
    <w:p>
      <w:pPr>
        <w:pStyle w:val="Normal"/>
        <w:spacing w:lineRule="auto" w:line="214"/>
        <w:jc w:val="both"/>
        <w:rPr/>
      </w:pPr>
      <w:r>
        <w:rPr/>
      </w:r>
    </w:p>
    <w:p>
      <w:pPr>
        <w:pStyle w:val="Normal"/>
        <w:rPr/>
      </w:pPr>
      <w:r>
        <w:rPr/>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alliard">
    <w:altName w:val="Bell MT"/>
    <w:charset w:val="00" w:characterSet="windows-1252"/>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cooperating entities are MISO, the Alliance Regional Transmission Organization and the Southwest Power Pool.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upperLetter"/>
      <w:lvlText w:val="%1."/>
      <w:lvlJc w:val="start"/>
      <w:pPr>
        <w:tabs>
          <w:tab w:val="num" w:pos="720"/>
        </w:tabs>
        <w:ind w:start="720" w:hanging="360"/>
      </w:pPr>
      <w:rPr>
        <w:rFonts w:cs="Times New Roman"/>
      </w:rPr>
    </w:lvl>
  </w:abstractNum>
  <w:abstractNum w:abstractNumId="4">
    <w:lvl w:ilvl="0">
      <w:start w:val="2"/>
      <w:numFmt w:val="decimal"/>
      <w:lvlText w:val="%1."/>
      <w:lvlJc w:val="start"/>
      <w:pPr>
        <w:tabs>
          <w:tab w:val="num" w:pos="1080"/>
        </w:tabs>
        <w:ind w:start="1080" w:hanging="360"/>
      </w:pPr>
      <w:rPr/>
    </w:lvl>
  </w:abstractNum>
  <w:abstractNum w:abstractNumId="5">
    <w:lvl w:ilvl="0">
      <w:start w:val="1"/>
      <w:numFmt w:val="bullet"/>
      <w:lvlText w:val=""/>
      <w:lvlJc w:val="start"/>
      <w:pPr>
        <w:tabs>
          <w:tab w:val="num" w:pos="1440"/>
        </w:tabs>
        <w:ind w:start="1440" w:hanging="360"/>
      </w:pPr>
      <w:rPr>
        <w:rFonts w:ascii="Symbol" w:hAnsi="Symbol" w:cs="Symbol" w:hint="default"/>
      </w:rPr>
    </w:lvl>
  </w:abstractNum>
  <w:abstractNum w:abstractNumId="6">
    <w:lvl w:ilvl="0">
      <w:start w:val="4"/>
      <w:numFmt w:val="upperLetter"/>
      <w:lvlText w:val="%1."/>
      <w:lvlJc w:val="start"/>
      <w:pPr>
        <w:tabs>
          <w:tab w:val="num" w:pos="1470"/>
        </w:tabs>
        <w:ind w:start="1470" w:hanging="39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u w:val="single"/>
    </w:rPr>
  </w:style>
  <w:style w:type="paragraph" w:styleId="Heading2">
    <w:name w:val="heading 2"/>
    <w:basedOn w:val="Normal"/>
    <w:next w:val="Normal"/>
    <w:qFormat/>
    <w:pPr>
      <w:keepNext w:val="true"/>
      <w:numPr>
        <w:ilvl w:val="1"/>
        <w:numId w:val="1"/>
      </w:numPr>
      <w:ind w:firstLine="720" w:start="0" w:end="0"/>
      <w:jc w:val="center"/>
      <w:outlineLvl w:val="1"/>
    </w:pPr>
    <w:rPr>
      <w:b/>
      <w:bCs/>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cs="Times New Roman"/>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rFonts w:ascii="Times New Roman" w:hAnsi="Times New Roman" w:eastAsia="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Times New Roman" w:hAnsi="Times New Roman" w:eastAsia="Times New Roman" w:cs="Times New Roman"/>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spacing w:lineRule="auto" w:line="480"/>
      <w:ind w:firstLine="720" w:start="0" w:end="0"/>
    </w:pPr>
    <w:rPr>
      <w:szCs w:val="20"/>
    </w:rPr>
  </w:style>
  <w:style w:type="paragraph" w:styleId="BodyText3">
    <w:name w:val="Body Text 3"/>
    <w:basedOn w:val="Normal"/>
    <w:qFormat/>
    <w:pPr/>
    <w:rPr>
      <w:b/>
      <w:bCs/>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2">
    <w:name w:val="Body Text 2"/>
    <w:basedOn w:val="Normal"/>
    <w:qFormat/>
    <w:pPr>
      <w:autoSpaceDE w:val="false"/>
      <w:spacing w:lineRule="auto" w:line="480"/>
    </w:pPr>
    <w:rPr>
      <w:rFonts w:cs="Arial"/>
      <w:sz w:val="26"/>
      <w:szCs w:val="20"/>
    </w:rPr>
  </w:style>
  <w:style w:type="paragraph" w:styleId="BodyTextIndent2">
    <w:name w:val="Body Text Indent 2"/>
    <w:basedOn w:val="Normal"/>
    <w:qFormat/>
    <w:pPr>
      <w:autoSpaceDE w:val="false"/>
      <w:ind w:firstLine="720" w:start="0" w:end="0"/>
    </w:pPr>
    <w:rPr>
      <w:b/>
      <w:bCs/>
      <w:sz w:val="26"/>
    </w:rPr>
  </w:style>
  <w:style w:type="paragraph" w:styleId="BodyTextIndent3">
    <w:name w:val="Body Text Indent 3"/>
    <w:basedOn w:val="Normal"/>
    <w:qFormat/>
    <w:pPr>
      <w:autoSpaceDE w:val="false"/>
      <w:ind w:hanging="0" w:start="720" w:end="0"/>
    </w:pPr>
    <w:rPr>
      <w:rFonts w:cs="Arial"/>
      <w:b/>
      <w:bCs/>
      <w:sz w:val="26"/>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kerry.stroup@enron.com" TargetMode="External"/><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2001-11-07T12:12:00Z</dcterms:created>
  <dc:creator>kstroup</dc:creator>
  <dc:description/>
  <dc:language>en-CA</dc:language>
  <cp:lastModifiedBy>cnicola</cp:lastModifiedBy>
  <cp:lastPrinted>2001-11-05T14:57:00Z</cp:lastPrinted>
  <dcterms:modified xsi:type="dcterms:W3CDTF">2001-11-07T12:12:00Z</dcterms:modified>
  <cp:revision>2</cp:revision>
  <dc:subject/>
  <dc:title>UNITED STATES OF AMERICA</dc:title>
</cp:coreProperties>
</file>