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r>
    </w:p>
    <w:p>
      <w:pPr>
        <w:pStyle w:val="Heading3"/>
        <w:ind w:hanging="0" w:start="0"/>
        <w:rPr/>
      </w:pPr>
      <w:r>
        <w:rPr/>
      </w:r>
    </w:p>
    <w:p>
      <w:pPr>
        <w:pStyle w:val="Heading3"/>
        <w:ind w:hanging="0" w:start="0"/>
        <w:rPr/>
      </w:pPr>
      <w:r>
        <w:rPr/>
      </w:r>
    </w:p>
    <w:p>
      <w:pPr>
        <w:pStyle w:val="Heading3"/>
        <w:ind w:hanging="0" w:start="0"/>
        <w:rPr/>
      </w:pPr>
      <w:r>
        <w:rPr/>
        <w:t xml:space="preserve">Summary of </w:t>
      </w:r>
    </w:p>
    <w:p>
      <w:pPr>
        <w:pStyle w:val="Normal"/>
        <w:rPr>
          <w:b/>
          <w:bCs/>
          <w:sz w:val="36"/>
        </w:rPr>
      </w:pPr>
      <w:r>
        <w:rPr>
          <w:b/>
          <w:bCs/>
          <w:sz w:val="36"/>
        </w:rPr>
        <w:t>Partial Path Reservations</w:t>
      </w:r>
    </w:p>
    <w:p>
      <w:pPr>
        <w:pStyle w:val="Normal"/>
        <w:rPr>
          <w:b/>
          <w:bCs/>
          <w:sz w:val="36"/>
        </w:rPr>
      </w:pPr>
      <w:r>
        <w:rPr>
          <w:b/>
          <w:bCs/>
          <w:sz w:val="36"/>
        </w:rPr>
        <w:t>Small Group Meeting</w:t>
      </w:r>
    </w:p>
    <w:p>
      <w:pPr>
        <w:pStyle w:val="Normal"/>
        <w:rPr>
          <w:b/>
          <w:bCs/>
          <w:sz w:val="36"/>
        </w:rPr>
      </w:pPr>
      <w:r>
        <w:rPr>
          <w:b/>
          <w:bCs/>
          <w:sz w:val="36"/>
        </w:rPr>
      </w:r>
    </w:p>
    <w:p>
      <w:pPr>
        <w:pStyle w:val="Normal"/>
        <w:rPr>
          <w:b/>
          <w:bCs/>
          <w:sz w:val="36"/>
        </w:rPr>
      </w:pPr>
      <w:r>
        <w:rPr>
          <w:b/>
          <w:bCs/>
          <w:sz w:val="36"/>
        </w:rPr>
      </w:r>
    </w:p>
    <w:p>
      <w:pPr>
        <w:pStyle w:val="Normal"/>
        <w:rPr>
          <w:b/>
          <w:bCs/>
          <w:sz w:val="36"/>
        </w:rPr>
      </w:pPr>
      <w:r>
        <w:rPr>
          <w:b/>
          <w:bCs/>
          <w:sz w:val="36"/>
        </w:rPr>
      </w:r>
    </w:p>
    <w:p>
      <w:pPr>
        <w:pStyle w:val="Normal"/>
        <w:rPr>
          <w:b/>
          <w:bCs/>
          <w:sz w:val="36"/>
        </w:rPr>
      </w:pPr>
      <w:r>
        <w:rPr>
          <w:b/>
          <w:bCs/>
          <w:sz w:val="36"/>
        </w:rPr>
      </w:r>
    </w:p>
    <w:p>
      <w:pPr>
        <w:pStyle w:val="Normal"/>
        <w:rPr>
          <w:b/>
          <w:bCs/>
          <w:sz w:val="36"/>
        </w:rPr>
      </w:pPr>
      <w:r>
        <w:rPr>
          <w:b/>
          <w:bCs/>
          <w:sz w:val="36"/>
        </w:rPr>
      </w:r>
    </w:p>
    <w:p>
      <w:pPr>
        <w:pStyle w:val="Normal"/>
        <w:rPr/>
      </w:pPr>
      <w:r>
        <w:rPr>
          <w:b/>
          <w:bCs/>
        </w:rPr>
        <w:t>July 2</w:t>
      </w:r>
      <w:r>
        <w:rPr>
          <w:b/>
          <w:bCs/>
          <w:vertAlign w:val="superscript"/>
        </w:rPr>
        <w:t>nd</w:t>
      </w:r>
      <w:r>
        <w:rPr>
          <w:b/>
          <w:bCs/>
        </w:rPr>
        <w:t>, 2001, Midwest ISO Offices</w:t>
      </w:r>
    </w:p>
    <w:p>
      <w:pPr>
        <w:pStyle w:val="Normal"/>
        <w:rPr>
          <w:b/>
          <w:bCs/>
        </w:rPr>
      </w:pPr>
      <w:r>
        <w:rPr>
          <w:b/>
          <w:bCs/>
        </w:rPr>
        <w:t>Indianapolis, Indiana</w:t>
      </w:r>
    </w:p>
    <w:p>
      <w:pPr>
        <w:pStyle w:val="Normal"/>
        <w:rPr>
          <w:b/>
          <w:bCs/>
        </w:rPr>
      </w:pPr>
      <w:r>
        <w:rPr>
          <w:b/>
          <w:bCs/>
        </w:rPr>
      </w:r>
    </w:p>
    <w:p>
      <w:pPr>
        <w:pStyle w:val="Normal"/>
        <w:rPr>
          <w:b/>
          <w:bCs/>
          <w:sz w:val="36"/>
        </w:rPr>
      </w:pPr>
      <w:r>
        <w:rPr>
          <w:b/>
          <w:bCs/>
          <w:sz w:val="36"/>
        </w:rPr>
      </w:r>
    </w:p>
    <w:p>
      <w:pPr>
        <w:pStyle w:val="Normal"/>
        <w:rPr>
          <w:b/>
          <w:bCs/>
          <w:sz w:val="36"/>
        </w:rPr>
      </w:pPr>
      <w:r>
        <w:rPr>
          <w:b/>
          <w:bCs/>
          <w:sz w:val="36"/>
        </w:rPr>
      </w:r>
    </w:p>
    <w:p>
      <w:pPr>
        <w:pStyle w:val="Normal"/>
        <w:rPr>
          <w:b/>
          <w:bCs/>
          <w:sz w:val="36"/>
        </w:rPr>
      </w:pPr>
      <w:r>
        <w:rPr>
          <w:b/>
          <w:bCs/>
          <w:sz w:val="36"/>
        </w:rPr>
      </w:r>
    </w:p>
    <w:p>
      <w:pPr>
        <w:pStyle w:val="BodyText2"/>
        <w:rPr>
          <w:smallCaps/>
        </w:rPr>
      </w:pPr>
      <w:r>
        <w:rPr>
          <w:smallCaps/>
        </w:rPr>
        <w:t>Attendees:</w:t>
      </w:r>
    </w:p>
    <w:p>
      <w:pPr>
        <w:pStyle w:val="Normal"/>
        <w:rPr>
          <w:b/>
          <w:bCs/>
          <w:smallCaps/>
        </w:rPr>
      </w:pPr>
      <w:r>
        <w:rPr>
          <w:b/>
          <w:bCs/>
          <w:smallCaps/>
        </w:rPr>
      </w:r>
    </w:p>
    <w:p>
      <w:pPr>
        <w:pStyle w:val="Normal"/>
        <w:rPr/>
      </w:pPr>
      <w:r>
        <w:rPr/>
        <w:tab/>
        <w:t>Tom Mallinger, Midwest ISO (Facilitator)</w:t>
      </w:r>
    </w:p>
    <w:p>
      <w:pPr>
        <w:pStyle w:val="Normal"/>
        <w:rPr/>
      </w:pPr>
      <w:r>
        <w:rPr/>
        <w:tab/>
        <w:t>Joe Gardner, Midwest ISO</w:t>
      </w:r>
    </w:p>
    <w:p>
      <w:pPr>
        <w:pStyle w:val="Normal"/>
        <w:rPr/>
      </w:pPr>
      <w:r>
        <w:rPr/>
        <w:tab/>
        <w:t>Roger Harszy, Midwest ISO</w:t>
      </w:r>
    </w:p>
    <w:p>
      <w:pPr>
        <w:pStyle w:val="Normal"/>
        <w:ind w:firstLine="720" w:end="0"/>
        <w:rPr/>
      </w:pPr>
      <w:r>
        <w:rPr/>
        <w:t>Bill Phillips, Midwest ISO</w:t>
      </w:r>
    </w:p>
    <w:p>
      <w:pPr>
        <w:pStyle w:val="Normal"/>
        <w:rPr/>
      </w:pPr>
      <w:r>
        <w:rPr/>
        <w:tab/>
        <w:t xml:space="preserve">Roy True, ACES Power Marketing </w:t>
      </w:r>
    </w:p>
    <w:p>
      <w:pPr>
        <w:pStyle w:val="Normal"/>
        <w:ind w:firstLine="720" w:end="0"/>
        <w:rPr/>
      </w:pPr>
      <w:r>
        <w:rPr/>
        <w:t>Doug Hils, Cinergy</w:t>
      </w:r>
    </w:p>
    <w:p>
      <w:pPr>
        <w:pStyle w:val="Normal"/>
        <w:rPr/>
      </w:pPr>
      <w:r>
        <w:rPr/>
        <w:tab/>
        <w:t>Bill Jett, Cinergy</w:t>
      </w:r>
    </w:p>
    <w:p>
      <w:pPr>
        <w:pStyle w:val="Normal"/>
        <w:rPr/>
      </w:pPr>
      <w:r>
        <w:rPr/>
        <w:tab/>
        <w:t xml:space="preserve">Andy Rodriquez, Enron </w:t>
      </w:r>
    </w:p>
    <w:p>
      <w:pPr>
        <w:pStyle w:val="Normal"/>
        <w:rPr/>
      </w:pPr>
      <w:r>
        <w:rPr/>
        <w:tab/>
        <w:t xml:space="preserve">Brad Borum, Indiana Utility Regulatory Commission </w:t>
      </w:r>
    </w:p>
    <w:p>
      <w:pPr>
        <w:pStyle w:val="Normal"/>
        <w:ind w:firstLine="720" w:end="0"/>
        <w:rPr/>
      </w:pPr>
      <w:r>
        <w:rPr/>
        <w:t>Karin Boychyn, Indiana Utility Regulatory Commission</w:t>
      </w:r>
    </w:p>
    <w:p>
      <w:pPr>
        <w:pStyle w:val="Normal"/>
        <w:rPr/>
      </w:pPr>
      <w:r>
        <w:rPr/>
        <w:tab/>
        <w:t>Bob Pauley, Indiana Utility Regulatory Commission</w:t>
        <w:tab/>
      </w:r>
    </w:p>
    <w:p>
      <w:pPr>
        <w:pStyle w:val="Normal"/>
        <w:rPr/>
      </w:pPr>
      <w:r>
        <w:rPr/>
        <w:tab/>
        <w:t>Daryn Barker, LG&amp;E Energy</w:t>
      </w:r>
    </w:p>
    <w:p>
      <w:pPr>
        <w:pStyle w:val="Normal"/>
        <w:rPr/>
      </w:pPr>
      <w:r>
        <w:rPr/>
        <w:tab/>
        <w:t>Greg Weiss, Ameren (phone)</w:t>
      </w:r>
    </w:p>
    <w:p>
      <w:pPr>
        <w:pStyle w:val="Normal"/>
        <w:rPr/>
      </w:pPr>
      <w:r>
        <w:rPr/>
        <w:tab/>
      </w:r>
    </w:p>
    <w:p>
      <w:pPr>
        <w:pStyle w:val="Normal"/>
        <w:rPr/>
      </w:pPr>
      <w:r>
        <w:rPr/>
      </w:r>
    </w:p>
    <w:p>
      <w:pPr>
        <w:pStyle w:val="Normal"/>
        <w:rPr/>
      </w:pPr>
      <w:r>
        <w:rPr>
          <w:b/>
          <w:bCs/>
          <w:smallCaps/>
        </w:rPr>
        <w:t>Meeting Objective:</w:t>
      </w:r>
      <w:r>
        <w:rPr>
          <w:smallCaps/>
        </w:rPr>
        <w:t xml:space="preserve">  </w:t>
      </w:r>
    </w:p>
    <w:p>
      <w:pPr>
        <w:pStyle w:val="Normal"/>
        <w:rPr>
          <w:smallCaps/>
        </w:rPr>
      </w:pPr>
      <w:r>
        <w:rPr>
          <w:smallCaps/>
        </w:rPr>
      </w:r>
    </w:p>
    <w:p>
      <w:pPr>
        <w:pStyle w:val="Normal"/>
        <w:rPr/>
      </w:pPr>
      <w:r>
        <w:rPr/>
        <w:t>Discuss the concept of Partial Path Reservations, with the ultimate goal of defining a manner in which market desires for flexibility and reliability concerns with flow evaluation can both be accommodated</w:t>
      </w:r>
      <w:r>
        <w:br w:type="page"/>
      </w:r>
    </w:p>
    <w:p>
      <w:pPr>
        <w:pStyle w:val="Normal"/>
        <w:rPr/>
      </w:pPr>
      <w:r>
        <w:rPr>
          <w:b/>
          <w:bCs/>
        </w:rPr>
        <w:t>Updated based on July 9</w:t>
      </w:r>
      <w:r>
        <w:rPr>
          <w:b/>
          <w:bCs/>
          <w:vertAlign w:val="superscript"/>
        </w:rPr>
        <w:t>th</w:t>
      </w:r>
      <w:r>
        <w:rPr>
          <w:b/>
          <w:bCs/>
        </w:rPr>
        <w:t xml:space="preserve"> Conference Call</w:t>
      </w:r>
    </w:p>
    <w:p>
      <w:pPr>
        <w:pStyle w:val="Normal"/>
        <w:rPr>
          <w:b/>
          <w:bCs/>
        </w:rPr>
      </w:pPr>
      <w:r>
        <w:rPr>
          <w:b/>
          <w:bCs/>
        </w:rPr>
      </w:r>
    </w:p>
    <w:p>
      <w:pPr>
        <w:pStyle w:val="BodyText2"/>
        <w:rPr/>
      </w:pPr>
      <w:r>
        <w:rPr/>
        <w:t>Attendees:</w:t>
      </w:r>
    </w:p>
    <w:p>
      <w:pPr>
        <w:pStyle w:val="Normal"/>
        <w:rPr/>
      </w:pPr>
      <w:r>
        <w:rPr/>
      </w:r>
    </w:p>
    <w:p>
      <w:pPr>
        <w:pStyle w:val="Normal"/>
        <w:rPr/>
      </w:pPr>
      <w:r>
        <w:rPr/>
        <w:tab/>
        <w:t>Tom Mallinger, Midwest ISO (Facilitator)</w:t>
      </w:r>
    </w:p>
    <w:p>
      <w:pPr>
        <w:pStyle w:val="Normal"/>
        <w:ind w:start="720" w:end="0"/>
        <w:rPr/>
      </w:pPr>
      <w:r>
        <w:rPr/>
        <w:t>Bill Phillips, Midwest ISO</w:t>
      </w:r>
    </w:p>
    <w:p>
      <w:pPr>
        <w:pStyle w:val="Normal"/>
        <w:ind w:start="720" w:end="0"/>
        <w:rPr/>
      </w:pPr>
      <w:r>
        <w:rPr/>
        <w:t>Roy True, ACES Power Marketing</w:t>
      </w:r>
    </w:p>
    <w:p>
      <w:pPr>
        <w:pStyle w:val="Normal"/>
        <w:ind w:start="720" w:end="0"/>
        <w:rPr/>
      </w:pPr>
      <w:r>
        <w:rPr/>
        <w:t xml:space="preserve">Andy Rodriquez, Enron </w:t>
      </w:r>
    </w:p>
    <w:p>
      <w:pPr>
        <w:pStyle w:val="Normal"/>
        <w:ind w:firstLine="720" w:end="0"/>
        <w:rPr/>
      </w:pPr>
      <w:r>
        <w:rPr/>
        <w:t>Bob Pauley, Indiana Utility Regulatory Commission</w:t>
        <w:tab/>
      </w:r>
    </w:p>
    <w:p>
      <w:pPr>
        <w:pStyle w:val="Normal"/>
        <w:ind w:start="720" w:end="0"/>
        <w:rPr/>
      </w:pPr>
      <w:r>
        <w:rPr/>
        <w:t xml:space="preserve">Daryn Barker, LG&amp;E Energy </w:t>
      </w:r>
    </w:p>
    <w:p>
      <w:pPr>
        <w:pStyle w:val="Normal"/>
        <w:rPr/>
      </w:pPr>
      <w:r>
        <w:rPr/>
      </w:r>
    </w:p>
    <w:p>
      <w:pPr>
        <w:pStyle w:val="Normal"/>
        <w:rPr/>
      </w:pPr>
      <w:r>
        <w:rPr/>
      </w:r>
    </w:p>
    <w:p>
      <w:pPr>
        <w:pStyle w:val="Normal"/>
        <w:rPr/>
      </w:pPr>
      <w:r>
        <w:rPr>
          <w:b/>
          <w:bCs/>
        </w:rPr>
        <w:t>Updated based on July 12</w:t>
      </w:r>
      <w:r>
        <w:rPr>
          <w:b/>
          <w:bCs/>
          <w:vertAlign w:val="superscript"/>
        </w:rPr>
        <w:t>th</w:t>
      </w:r>
      <w:r>
        <w:rPr>
          <w:b/>
          <w:bCs/>
        </w:rPr>
        <w:t xml:space="preserve"> Conference Call</w:t>
      </w:r>
    </w:p>
    <w:p>
      <w:pPr>
        <w:pStyle w:val="Normal"/>
        <w:rPr>
          <w:b/>
          <w:bCs/>
        </w:rPr>
      </w:pPr>
      <w:r>
        <w:rPr>
          <w:b/>
          <w:bCs/>
        </w:rPr>
      </w:r>
    </w:p>
    <w:p>
      <w:pPr>
        <w:pStyle w:val="Normal"/>
        <w:rPr>
          <w:b/>
          <w:bCs/>
        </w:rPr>
      </w:pPr>
      <w:r>
        <w:rPr>
          <w:b/>
          <w:bCs/>
        </w:rPr>
        <w:t>Attendees:</w:t>
      </w:r>
    </w:p>
    <w:p>
      <w:pPr>
        <w:pStyle w:val="Normal"/>
        <w:rPr>
          <w:b/>
          <w:bCs/>
        </w:rPr>
      </w:pPr>
      <w:r>
        <w:rPr>
          <w:b/>
          <w:bCs/>
        </w:rPr>
      </w:r>
    </w:p>
    <w:p>
      <w:pPr>
        <w:pStyle w:val="Normal"/>
        <w:ind w:start="720" w:end="0"/>
        <w:rPr>
          <w:b/>
          <w:bCs/>
        </w:rPr>
      </w:pPr>
      <w:r>
        <w:rPr>
          <w:b/>
          <w:bCs/>
        </w:rPr>
      </w:r>
    </w:p>
    <w:p>
      <w:pPr>
        <w:pStyle w:val="Normal"/>
        <w:ind w:start="720" w:end="0"/>
        <w:rPr/>
      </w:pPr>
      <w:r>
        <w:rPr/>
        <w:t>Tom Mallinger, Midwest ISO (Facilitator)</w:t>
      </w:r>
    </w:p>
    <w:p>
      <w:pPr>
        <w:pStyle w:val="Normal"/>
        <w:ind w:start="720" w:end="0"/>
        <w:rPr/>
      </w:pPr>
      <w:r>
        <w:rPr/>
        <w:t>Bill Phillips, Midwest ISO</w:t>
      </w:r>
    </w:p>
    <w:p>
      <w:pPr>
        <w:pStyle w:val="Normal"/>
        <w:ind w:start="720" w:end="0"/>
        <w:rPr/>
      </w:pPr>
      <w:r>
        <w:rPr/>
        <w:t>Roy True, ACES Power Marketing</w:t>
      </w:r>
    </w:p>
    <w:p>
      <w:pPr>
        <w:pStyle w:val="Normal"/>
        <w:ind w:start="720" w:end="0"/>
        <w:rPr/>
      </w:pPr>
      <w:r>
        <w:rPr/>
        <w:t xml:space="preserve">Doug Hils, Cinergy </w:t>
      </w:r>
    </w:p>
    <w:p>
      <w:pPr>
        <w:pStyle w:val="Normal"/>
        <w:ind w:start="720" w:end="0"/>
        <w:rPr/>
      </w:pPr>
      <w:r>
        <w:rPr/>
        <w:t>Bill Jett, Cinergy</w:t>
      </w:r>
    </w:p>
    <w:p>
      <w:pPr>
        <w:pStyle w:val="Normal"/>
        <w:ind w:start="720" w:end="0"/>
        <w:rPr/>
      </w:pPr>
      <w:r>
        <w:rPr/>
        <w:t>Walt Yeager, Cinergy</w:t>
      </w:r>
    </w:p>
    <w:p>
      <w:pPr>
        <w:pStyle w:val="Normal"/>
        <w:ind w:start="720" w:end="0"/>
        <w:rPr/>
      </w:pPr>
      <w:r>
        <w:rPr/>
        <w:t>Jason Cox, Dynegy Power Marketing</w:t>
      </w:r>
    </w:p>
    <w:p>
      <w:pPr>
        <w:pStyle w:val="Normal"/>
        <w:ind w:start="720" w:end="0"/>
        <w:rPr/>
      </w:pPr>
      <w:r>
        <w:rPr/>
        <w:t>Michael Gildea, Duke Energy marketing</w:t>
      </w:r>
    </w:p>
    <w:p>
      <w:pPr>
        <w:pStyle w:val="Normal"/>
        <w:ind w:start="720" w:end="0"/>
        <w:rPr/>
      </w:pPr>
      <w:r>
        <w:rPr/>
        <w:t>Andy Rodriquez, Enron</w:t>
      </w:r>
    </w:p>
    <w:p>
      <w:pPr>
        <w:pStyle w:val="Normal"/>
        <w:ind w:start="720" w:end="0"/>
        <w:rPr/>
      </w:pPr>
      <w:r>
        <w:rPr/>
        <w:t>Bob Pauley, Indiana Utility Regulatory Commission</w:t>
      </w:r>
    </w:p>
    <w:p>
      <w:pPr>
        <w:pStyle w:val="Normal"/>
        <w:ind w:start="720" w:end="0"/>
        <w:rPr/>
      </w:pPr>
      <w:r>
        <w:rPr/>
      </w:r>
      <w:r>
        <w:br w:type="page"/>
      </w:r>
    </w:p>
    <w:p>
      <w:pPr>
        <w:pStyle w:val="Normal"/>
        <w:ind w:start="720" w:end="0"/>
        <w:rPr/>
      </w:pPr>
      <w:r>
        <w:rPr>
          <w:b/>
          <w:bCs/>
          <w:smallCaps/>
        </w:rPr>
        <w:t>Overview of the Issue:</w:t>
      </w:r>
      <w:r>
        <w:rPr>
          <w:smallCaps/>
        </w:rPr>
        <w:t xml:space="preserve">  </w:t>
      </w:r>
    </w:p>
    <w:p>
      <w:pPr>
        <w:pStyle w:val="Normal"/>
        <w:rPr>
          <w:smallCaps/>
        </w:rPr>
      </w:pPr>
      <w:r>
        <w:rPr>
          <w:smallCaps/>
        </w:rPr>
      </w:r>
    </w:p>
    <w:p>
      <w:pPr>
        <w:pStyle w:val="Normal"/>
        <w:rPr/>
      </w:pPr>
      <w:r>
        <w:rPr/>
        <w:t>Transmission service is currently sold on a contract path basis defined by the following characteristics:</w:t>
      </w:r>
    </w:p>
    <w:p>
      <w:pPr>
        <w:pStyle w:val="Normal"/>
        <w:numPr>
          <w:ilvl w:val="0"/>
          <w:numId w:val="2"/>
        </w:numPr>
        <w:rPr/>
      </w:pPr>
      <w:r>
        <w:rPr/>
        <w:t>Source: Generation Control Area (or entity identified as control area/zone/sub-zone within a Generation Control Area) at which energy flowing across the reservation is being generated</w:t>
      </w:r>
    </w:p>
    <w:p>
      <w:pPr>
        <w:pStyle w:val="Normal"/>
        <w:numPr>
          <w:ilvl w:val="0"/>
          <w:numId w:val="2"/>
        </w:numPr>
        <w:rPr/>
      </w:pPr>
      <w:r>
        <w:rPr/>
        <w:t>Point of Receipt (POR): Control Area at which energy is being delivered into the Transmission Provider’s system (may be equal to Source)</w:t>
      </w:r>
    </w:p>
    <w:p>
      <w:pPr>
        <w:pStyle w:val="Normal"/>
        <w:numPr>
          <w:ilvl w:val="0"/>
          <w:numId w:val="2"/>
        </w:numPr>
        <w:rPr/>
      </w:pPr>
      <w:r>
        <w:rPr/>
        <w:t>Point of Delivery (POD): Control area at which energy is being received from the Transmission Provider’s system (may be equal to Sink)</w:t>
      </w:r>
    </w:p>
    <w:p>
      <w:pPr>
        <w:pStyle w:val="Normal"/>
        <w:numPr>
          <w:ilvl w:val="0"/>
          <w:numId w:val="2"/>
        </w:numPr>
        <w:rPr/>
      </w:pPr>
      <w:r>
        <w:rPr/>
        <w:t>Sink: Load Control Area (or entity identified as control area/zone/sub-zone within a Load Control Area) at which energy flowing across the reservation is being consumed</w:t>
      </w:r>
    </w:p>
    <w:p>
      <w:pPr>
        <w:pStyle w:val="Normal"/>
        <w:rPr/>
      </w:pPr>
      <w:r>
        <w:rPr/>
        <w:t>These characteristics, in concert with the transmission capacity profile, are used to determine the impacts of a reservation on Available Transfer Capability/Available Flowgate Capability, in order to ensure oversale of capacity is not possible and that Operating Security Limits are not caused by such oversales.</w:t>
      </w:r>
    </w:p>
    <w:p>
      <w:pPr>
        <w:pStyle w:val="Normal"/>
        <w:rPr/>
      </w:pPr>
      <w:r>
        <w:rPr/>
      </w:r>
    </w:p>
    <w:p>
      <w:pPr>
        <w:pStyle w:val="Normal"/>
        <w:rPr/>
      </w:pPr>
      <w:r>
        <w:rPr/>
        <w:t>A point of concern around this process is the specification of Source and Sink at the time of reservation.  Such requirements make it difficult for Transmission Customers to purchase Transmission Service on a speculative basis, as Source to Sink information is often not known until the time of tagging/scheduling.  Transmission Reservation requirements typically dictate that reservation requests be made some time earlier than the actual time of scheduling.</w:t>
      </w:r>
    </w:p>
    <w:p>
      <w:pPr>
        <w:pStyle w:val="Normal"/>
        <w:rPr/>
      </w:pPr>
      <w:r>
        <w:rPr/>
      </w:r>
    </w:p>
    <w:p>
      <w:pPr>
        <w:pStyle w:val="Normal"/>
        <w:rPr/>
      </w:pPr>
      <w:r>
        <w:rPr/>
        <w:t>This situation, combined with other factors relating to market desire for maximum usage of purchased resources, has led to a dilemma: how can a Transmission Customer procure transmission service prior to transaction creation, when the request for service may require the identification of the as yet uncreated transaction?  If Providers do not require this information at the time of reservation, how can they properly recognize transactional impacts and avoid overselling of transmission (and the associated potential for exceeding of Operating Security Limits)?</w:t>
      </w:r>
    </w:p>
    <w:p>
      <w:pPr>
        <w:pStyle w:val="Normal"/>
        <w:rPr/>
      </w:pPr>
      <w:r>
        <w:rPr/>
      </w:r>
    </w:p>
    <w:p>
      <w:pPr>
        <w:pStyle w:val="Normal"/>
        <w:rPr/>
      </w:pPr>
      <w:r>
        <w:rPr/>
        <w:t>The following section lists four primary proposals discussed at the PPRSG meeting.</w:t>
      </w:r>
    </w:p>
    <w:p>
      <w:pPr>
        <w:pStyle w:val="Normal"/>
        <w:rPr/>
      </w:pPr>
      <w:r>
        <w:rPr/>
      </w:r>
      <w:r>
        <w:br w:type="page"/>
      </w:r>
    </w:p>
    <w:p>
      <w:pPr>
        <w:pStyle w:val="BodyText2"/>
        <w:rPr>
          <w:smallCaps/>
        </w:rPr>
      </w:pPr>
      <w:r>
        <w:rPr>
          <w:smallCaps/>
        </w:rPr>
        <w:t>The Proposals:</w:t>
      </w:r>
    </w:p>
    <w:p>
      <w:pPr>
        <w:pStyle w:val="Normal"/>
        <w:rPr>
          <w:smallCaps/>
        </w:rPr>
      </w:pPr>
      <w:r>
        <w:rPr>
          <w:smallCaps/>
        </w:rPr>
      </w:r>
    </w:p>
    <w:p>
      <w:pPr>
        <w:pStyle w:val="Normal"/>
        <w:rPr/>
      </w:pPr>
      <w:r>
        <w:rPr>
          <w:b/>
          <w:bCs/>
        </w:rPr>
        <w:t xml:space="preserve">Proposal 1A: </w:t>
      </w:r>
      <w:r>
        <w:rPr/>
        <w:t>Require specification of true POR/POD only. Source and Sink may be “proxy” points reflecting (but not necessarily accurately) the flow of the energy that will be scheduled using the reservation.  If at the time of reservation, the system appears that it can accommodate the request based on its proxy source and sink, the reservation should be approved.  At the time of scheduling, all transactions using contiguous, approved reservations should be allowed to flow.</w:t>
      </w:r>
    </w:p>
    <w:p>
      <w:pPr>
        <w:pStyle w:val="Normal"/>
        <w:rPr/>
      </w:pPr>
      <w:r>
        <w:rPr/>
      </w:r>
    </w:p>
    <w:p>
      <w:pPr>
        <w:pStyle w:val="Normal"/>
        <w:rPr/>
      </w:pPr>
      <w:r>
        <w:rPr/>
        <w:drawing>
          <wp:inline distT="0" distB="0" distL="0" distR="0">
            <wp:extent cx="5486400" cy="41148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486400" cy="4114800"/>
                    </a:xfrm>
                    <a:prstGeom prst="rect">
                      <a:avLst/>
                    </a:prstGeom>
                    <a:noFill/>
                  </pic:spPr>
                </pic:pic>
              </a:graphicData>
            </a:graphic>
          </wp:inline>
        </w:drawing>
      </w:r>
    </w:p>
    <w:p>
      <w:pPr>
        <w:pStyle w:val="Normal"/>
        <w:rPr/>
      </w:pPr>
      <w:r>
        <w:rPr/>
      </w:r>
    </w:p>
    <w:p>
      <w:pPr>
        <w:pStyle w:val="Normal"/>
        <w:rPr/>
      </w:pPr>
      <w:r>
        <w:rPr>
          <w:i/>
          <w:iCs/>
        </w:rPr>
        <w:t>Pros</w:t>
      </w:r>
      <w:r>
        <w:rPr/>
        <w:t>: Allows maximum market flexibility</w:t>
      </w:r>
    </w:p>
    <w:p>
      <w:pPr>
        <w:pStyle w:val="Normal"/>
        <w:rPr/>
      </w:pPr>
      <w:r>
        <w:rPr>
          <w:i/>
          <w:iCs/>
        </w:rPr>
        <w:t>Cons</w:t>
      </w:r>
      <w:r>
        <w:rPr/>
        <w:t>: Security Analysis may be inaccurate, possibly resulting in more OSL violations (and therefore may increase TLRs, Emergency ReDispatch, etc…, which may lead to RTO’s increasing TRM and more ReDispatch uplift charges)</w:t>
      </w:r>
    </w:p>
    <w:p>
      <w:pPr>
        <w:pStyle w:val="Normal"/>
        <w:rPr/>
      </w:pPr>
      <w:r>
        <w:rPr/>
      </w:r>
      <w:r>
        <w:br w:type="page"/>
      </w:r>
    </w:p>
    <w:p>
      <w:pPr>
        <w:pStyle w:val="Normal"/>
        <w:rPr/>
      </w:pPr>
      <w:r>
        <w:rPr>
          <w:b/>
          <w:bCs/>
        </w:rPr>
        <w:t>Proposal 1B:</w:t>
      </w:r>
      <w:r>
        <w:rPr/>
        <w:t xml:space="preserve"> Require specification of POR/POD and true Source/Sink on all reservations.  Approve reservation if system appears able to accommodate the request based on source and sink.  At the time of scheduling, all transactions must use reservations identifying true source and sink that match those specified on the schedule.  If not, such schedules will be denied and not allowed to flow.</w:t>
      </w:r>
    </w:p>
    <w:p>
      <w:pPr>
        <w:pStyle w:val="Normal"/>
        <w:rPr/>
      </w:pPr>
      <w:r>
        <w:rPr/>
      </w:r>
    </w:p>
    <w:p>
      <w:pPr>
        <w:pStyle w:val="Normal"/>
        <w:rPr/>
      </w:pPr>
      <w:r>
        <w:rPr/>
        <w:drawing>
          <wp:inline distT="0" distB="0" distL="0" distR="0">
            <wp:extent cx="5486400" cy="41148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5" r="-4" b="-5"/>
                    <a:stretch>
                      <a:fillRect/>
                    </a:stretch>
                  </pic:blipFill>
                  <pic:spPr bwMode="auto">
                    <a:xfrm>
                      <a:off x="0" y="0"/>
                      <a:ext cx="5486400" cy="4114800"/>
                    </a:xfrm>
                    <a:prstGeom prst="rect">
                      <a:avLst/>
                    </a:prstGeom>
                    <a:noFill/>
                  </pic:spPr>
                </pic:pic>
              </a:graphicData>
            </a:graphic>
          </wp:inline>
        </w:drawing>
      </w:r>
    </w:p>
    <w:p>
      <w:pPr>
        <w:pStyle w:val="Normal"/>
        <w:rPr/>
      </w:pPr>
      <w:r>
        <w:rPr/>
      </w:r>
    </w:p>
    <w:p>
      <w:pPr>
        <w:pStyle w:val="Normal"/>
        <w:rPr/>
      </w:pPr>
      <w:r>
        <w:rPr>
          <w:i/>
          <w:iCs/>
        </w:rPr>
        <w:t>Pros</w:t>
      </w:r>
      <w:r>
        <w:rPr/>
        <w:t>: Ensure more accurate Security Analysis, should reduce OSL violations</w:t>
      </w:r>
    </w:p>
    <w:p>
      <w:pPr>
        <w:pStyle w:val="Normal"/>
        <w:rPr/>
      </w:pPr>
      <w:r>
        <w:rPr>
          <w:i/>
          <w:iCs/>
        </w:rPr>
        <w:t>Cons</w:t>
      </w:r>
      <w:r>
        <w:rPr/>
        <w:t xml:space="preserve">: Forces market to buy transmission on purely short-term “as needed” basis; no ability to hedge transmission risk or incentive to obtain and use long-term transmission, thus decreasing Transmission Provider revenues. </w:t>
      </w:r>
    </w:p>
    <w:p>
      <w:pPr>
        <w:pStyle w:val="Normal"/>
        <w:rPr/>
      </w:pPr>
      <w:r>
        <w:rPr/>
      </w:r>
    </w:p>
    <w:p>
      <w:pPr>
        <w:pStyle w:val="BodyText"/>
        <w:rPr/>
      </w:pPr>
      <w:r>
        <w:rPr>
          <w:b/>
          <w:bCs/>
        </w:rPr>
        <w:t>Proposals 1A and 1B</w:t>
      </w:r>
      <w:r>
        <w:rPr/>
        <w:t xml:space="preserve"> represent the two ends of the spectrum in effect today.  The members of the PPRSG felt that while both proposals could find strong support in certain sectors, they represent fundamentally opposing viewpoints that could never be agreed to   through consensus means.  Instead a more moderate approach that tries to accommodate both reliability and market needs should be attempted.</w:t>
      </w:r>
    </w:p>
    <w:p>
      <w:pPr>
        <w:pStyle w:val="BodyText"/>
        <w:rPr/>
      </w:pPr>
      <w:r>
        <w:rPr/>
      </w:r>
    </w:p>
    <w:p>
      <w:pPr>
        <w:pStyle w:val="Normal"/>
        <w:rPr/>
      </w:pPr>
      <w:r>
        <w:rPr/>
      </w:r>
      <w:r>
        <w:br w:type="page"/>
      </w:r>
    </w:p>
    <w:p>
      <w:pPr>
        <w:pStyle w:val="Normal"/>
        <w:rPr/>
      </w:pPr>
      <w:r>
        <w:rPr>
          <w:b/>
          <w:bCs/>
        </w:rPr>
        <w:t>Proposal 2:</w:t>
      </w:r>
      <w:r>
        <w:rPr/>
        <w:t xml:space="preserve"> Require that at lease one (1) reservation presented at the time of scheduling must specify true source and sink.  Provider of Source to Sink Reservation would be obligated to evaluate security impacts of S-to-S path prior to approval of reservation.  If reservation could not be approved without creating OSL situation, then reservation would be denied.  At time of scheduling, at least one (1) transmission Service Provider listed on the transaction tag must have a true source to sink reservation, otherwise the schedule would be denied.</w:t>
      </w:r>
    </w:p>
    <w:p>
      <w:pPr>
        <w:pStyle w:val="Normal"/>
        <w:rPr/>
      </w:pPr>
      <w:r>
        <w:rPr/>
      </w:r>
    </w:p>
    <w:p>
      <w:pPr>
        <w:pStyle w:val="Normal"/>
        <w:jc w:val="center"/>
        <w:rPr/>
      </w:pPr>
      <w:r>
        <w:rPr/>
        <w:drawing>
          <wp:inline distT="0" distB="0" distL="0" distR="0">
            <wp:extent cx="4800600" cy="360045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5" r="-4" b="-5"/>
                    <a:stretch>
                      <a:fillRect/>
                    </a:stretch>
                  </pic:blipFill>
                  <pic:spPr bwMode="auto">
                    <a:xfrm>
                      <a:off x="0" y="0"/>
                      <a:ext cx="4800600" cy="3600450"/>
                    </a:xfrm>
                    <a:prstGeom prst="rect">
                      <a:avLst/>
                    </a:prstGeom>
                    <a:noFill/>
                  </pic:spPr>
                </pic:pic>
              </a:graphicData>
            </a:graphic>
          </wp:inline>
        </w:drawing>
      </w:r>
    </w:p>
    <w:p>
      <w:pPr>
        <w:pStyle w:val="Normal"/>
        <w:rPr/>
      </w:pPr>
      <w:r>
        <w:rPr/>
      </w:r>
    </w:p>
    <w:p>
      <w:pPr>
        <w:pStyle w:val="Normal"/>
        <w:rPr/>
      </w:pPr>
      <w:r>
        <w:rPr>
          <w:i/>
          <w:iCs/>
        </w:rPr>
        <w:t>Pros</w:t>
      </w:r>
      <w:r>
        <w:rPr/>
        <w:t>: Ensures more accurate Security Analysis takes place prior to transaction scheduling, possibly resulting in less OSL violations (and therefore may decrease TLRs, emergency ReDispatch, etc… which may lead to RTOs having less TRM and less ReDispatch uplift charges).</w:t>
      </w:r>
    </w:p>
    <w:p>
      <w:pPr>
        <w:pStyle w:val="Normal"/>
        <w:rPr/>
      </w:pPr>
      <w:r>
        <w:rPr>
          <w:i/>
          <w:iCs/>
        </w:rPr>
        <w:t>Cons</w:t>
      </w:r>
      <w:r>
        <w:rPr/>
        <w:t>: Forces Transmission Customers to put in one or more reservations at or near the time of scheduling, increasing risk for service being unavailable. Potentially will result is a significant amount of unusable transmission reserved prior to the scheduling window (as a hedge against transmission risk).</w:t>
      </w:r>
    </w:p>
    <w:p>
      <w:pPr>
        <w:pStyle w:val="Normal"/>
        <w:rPr/>
      </w:pPr>
      <w:r>
        <w:rPr/>
      </w:r>
    </w:p>
    <w:p>
      <w:pPr>
        <w:pStyle w:val="Heading1"/>
        <w:ind w:hanging="0" w:start="0"/>
        <w:rPr/>
      </w:pPr>
      <w:r>
        <w:rPr/>
        <w:t>Proposal 2 indirectly requires the same constraint as 1B, but provides a small amount of flexibility through the ability to purchase “some” transmission speculatively.  Unfortunately, this ability is offset by the uncertainty associated with identifying “which” reservation(s) must be specified at the time of scheduling, and therefore functionally is equivalent to 1B except in situations where one TC buys and schedules from generator to load (removing the uncertainty).</w:t>
      </w:r>
    </w:p>
    <w:p>
      <w:pPr>
        <w:pStyle w:val="Normal"/>
        <w:rPr/>
      </w:pPr>
      <w:r>
        <w:rPr/>
      </w:r>
      <w:r>
        <w:br w:type="page"/>
      </w:r>
    </w:p>
    <w:p>
      <w:pPr>
        <w:pStyle w:val="Normal"/>
        <w:rPr/>
      </w:pPr>
      <w:r>
        <w:rPr>
          <w:b/>
          <w:bCs/>
        </w:rPr>
        <w:t>Proposal 3:</w:t>
      </w:r>
      <w:r>
        <w:rPr/>
        <w:t xml:space="preserve"> Provide credit for flowgates granted associated with a particular reservation path.  Compare flowgate credits to usage created by scheduling process.  If net result is flowgate deficit, portions of transaction deficient in flowgates are treated as non-firm across those flowgates, while remaining portion is considered firm. </w:t>
      </w:r>
    </w:p>
    <w:p>
      <w:pPr>
        <w:pStyle w:val="Normal"/>
        <w:rPr/>
      </w:pPr>
      <w:r>
        <w:rPr/>
      </w:r>
    </w:p>
    <w:p>
      <w:pPr>
        <w:pStyle w:val="Normal"/>
        <w:rPr/>
      </w:pPr>
      <w:r>
        <w:rPr/>
        <w:drawing>
          <wp:inline distT="0" distB="0" distL="0" distR="0">
            <wp:extent cx="5486400" cy="411480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4" t="-5" r="-4" b="-5"/>
                    <a:stretch>
                      <a:fillRect/>
                    </a:stretch>
                  </pic:blipFill>
                  <pic:spPr bwMode="auto">
                    <a:xfrm>
                      <a:off x="0" y="0"/>
                      <a:ext cx="5486400" cy="4114800"/>
                    </a:xfrm>
                    <a:prstGeom prst="rect">
                      <a:avLst/>
                    </a:prstGeom>
                    <a:noFill/>
                  </pic:spPr>
                </pic:pic>
              </a:graphicData>
            </a:graphic>
          </wp:inline>
        </w:drawing>
      </w:r>
    </w:p>
    <w:p>
      <w:pPr>
        <w:pStyle w:val="Normal"/>
        <w:rPr/>
      </w:pPr>
      <w:r>
        <w:rPr/>
      </w:r>
    </w:p>
    <w:p>
      <w:pPr>
        <w:pStyle w:val="Normal"/>
        <w:rPr/>
      </w:pPr>
      <w:r>
        <w:rPr/>
        <w:t>Pros: Fair allocation and treatment of resource (reservation)</w:t>
      </w:r>
    </w:p>
    <w:p>
      <w:pPr>
        <w:pStyle w:val="Normal"/>
        <w:rPr/>
      </w:pPr>
      <w:r>
        <w:rPr/>
        <w:t>Cons: Difficult to implement due to time constraints.  Other RTOs that are not compensated would not recognize such credits.</w:t>
      </w:r>
    </w:p>
    <w:p>
      <w:pPr>
        <w:pStyle w:val="Normal"/>
        <w:rPr/>
      </w:pPr>
      <w:r>
        <w:rPr/>
      </w:r>
    </w:p>
    <w:p>
      <w:pPr>
        <w:pStyle w:val="BodyText"/>
        <w:rPr/>
      </w:pPr>
      <w:r>
        <w:rPr/>
        <w:t>Proposal 3 was brought up as an alternate proposal to the three originally presented in the Policy Subcommittee Review paper.  The group in general thought the idea had merit, but perhaps should be considered as a longer-term solution for Day 2, rather than Day 1. This is very close to physical transmission rights.  The selling RTO could recognize credits on their flowgates (even for partial paths totally within the RTO).</w:t>
      </w:r>
    </w:p>
    <w:p>
      <w:pPr>
        <w:pStyle w:val="BodyText"/>
        <w:rPr>
          <w:i w:val="false"/>
          <w:i w:val="false"/>
          <w:iCs w:val="false"/>
        </w:rPr>
      </w:pPr>
      <w:r>
        <w:rPr>
          <w:i w:val="false"/>
          <w:iCs w:val="false"/>
        </w:rPr>
      </w:r>
    </w:p>
    <w:p>
      <w:pPr>
        <w:pStyle w:val="Normal"/>
        <w:rPr>
          <w:i/>
          <w:i/>
          <w:iCs/>
        </w:rPr>
      </w:pPr>
      <w:r>
        <w:rPr>
          <w:i/>
          <w:iCs/>
        </w:rPr>
      </w:r>
      <w:r>
        <w:br w:type="page"/>
      </w:r>
    </w:p>
    <w:p>
      <w:pPr>
        <w:pStyle w:val="BodyTextIndent"/>
        <w:ind w:start="0" w:end="0"/>
        <w:rPr/>
      </w:pPr>
      <w:r>
        <w:rPr>
          <w:b/>
          <w:bCs/>
        </w:rPr>
        <w:t>Proposal</w:t>
      </w:r>
      <w:r>
        <w:rPr>
          <w:b/>
          <w:bCs/>
          <w:smallCaps/>
        </w:rPr>
        <w:t xml:space="preserve"> 4: </w:t>
      </w:r>
      <w:r>
        <w:rPr>
          <w:smallCaps/>
        </w:rPr>
        <w:t xml:space="preserve"> </w:t>
      </w:r>
      <w:r>
        <w:rPr/>
        <w:t>If providers were allowed to deny schedules based on reliability constraints, then perhaps the need for source-to-sink accuracy on a reservation could be eliminated.  Specifically, providers could take the following actions:</w:t>
      </w:r>
    </w:p>
    <w:p>
      <w:pPr>
        <w:pStyle w:val="Normal"/>
        <w:rPr/>
      </w:pPr>
      <w:r>
        <w:rPr/>
      </w:r>
    </w:p>
    <w:p>
      <w:pPr>
        <w:pStyle w:val="Normal"/>
        <w:numPr>
          <w:ilvl w:val="0"/>
          <w:numId w:val="3"/>
        </w:numPr>
        <w:tabs>
          <w:tab w:val="left" w:pos="720" w:leader="none"/>
        </w:tabs>
        <w:ind w:hanging="360" w:start="720" w:end="0"/>
        <w:rPr/>
      </w:pPr>
      <w:r>
        <w:rPr/>
        <w:t>Evaluate ATC/AFC based on specified POR/POD and/or Source/Sink specified in the reservation request.</w:t>
      </w:r>
    </w:p>
    <w:p>
      <w:pPr>
        <w:pStyle w:val="Normal"/>
        <w:numPr>
          <w:ilvl w:val="0"/>
          <w:numId w:val="3"/>
        </w:numPr>
        <w:tabs>
          <w:tab w:val="left" w:pos="720" w:leader="none"/>
        </w:tabs>
        <w:ind w:hanging="360" w:start="720" w:end="0"/>
        <w:rPr/>
      </w:pPr>
      <w:r>
        <w:rPr/>
        <w:t>At scheduling time, if schedule Source to Sink matches reservation Source to Sink, the transaction is approved.</w:t>
      </w:r>
    </w:p>
    <w:p>
      <w:pPr>
        <w:pStyle w:val="Normal"/>
        <w:numPr>
          <w:ilvl w:val="0"/>
          <w:numId w:val="3"/>
        </w:numPr>
        <w:tabs>
          <w:tab w:val="left" w:pos="720" w:leader="none"/>
        </w:tabs>
        <w:ind w:hanging="360" w:start="720" w:end="0"/>
        <w:rPr/>
      </w:pPr>
      <w:r>
        <w:rPr/>
        <w:t>At scheduling time, if schedule Source to Sink does not match reservation Source to Sink, BUT the transaction does not cause a constraint, the transaction is approved.</w:t>
      </w:r>
    </w:p>
    <w:p>
      <w:pPr>
        <w:pStyle w:val="Normal"/>
        <w:numPr>
          <w:ilvl w:val="0"/>
          <w:numId w:val="3"/>
        </w:numPr>
        <w:tabs>
          <w:tab w:val="left" w:pos="720" w:leader="none"/>
        </w:tabs>
        <w:ind w:hanging="360" w:start="720" w:end="0"/>
        <w:rPr/>
      </w:pPr>
      <w:r>
        <w:rPr/>
        <w:t>At scheduling time, if schedule Source to Sink does not match reservation Source to Sink, AND the transaction DOES cause a constraint (or contribute to a constraint), the transaction is denied.</w:t>
      </w:r>
    </w:p>
    <w:p>
      <w:pPr>
        <w:pStyle w:val="Normal"/>
        <w:rPr/>
      </w:pPr>
      <w:r>
        <w:rPr/>
      </w:r>
    </w:p>
    <w:p>
      <w:pPr>
        <w:pStyle w:val="BodyTextIndent"/>
        <w:ind w:start="0" w:end="0"/>
        <w:rPr/>
      </w:pPr>
      <w:r>
        <w:rPr/>
        <w:t xml:space="preserve">This proposal provides customers with more flexibility, but allows providers to avoid scheduling OSL violations. </w:t>
      </w:r>
    </w:p>
    <w:p>
      <w:pPr>
        <w:pStyle w:val="BodyTextIndent"/>
        <w:rPr/>
      </w:pPr>
      <w:r>
        <w:rPr/>
      </w:r>
    </w:p>
    <w:p>
      <w:pPr>
        <w:pStyle w:val="BodyTextIndent"/>
        <w:rPr/>
      </w:pPr>
      <w:r>
        <w:rPr/>
        <w:drawing>
          <wp:inline distT="0" distB="0" distL="0" distR="0">
            <wp:extent cx="4690745" cy="351790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4" t="-5" r="-4" b="-5"/>
                    <a:stretch>
                      <a:fillRect/>
                    </a:stretch>
                  </pic:blipFill>
                  <pic:spPr bwMode="auto">
                    <a:xfrm>
                      <a:off x="0" y="0"/>
                      <a:ext cx="4690745" cy="3517900"/>
                    </a:xfrm>
                    <a:prstGeom prst="rect">
                      <a:avLst/>
                    </a:prstGeom>
                    <a:noFill/>
                  </pic:spPr>
                </pic:pic>
              </a:graphicData>
            </a:graphic>
          </wp:inline>
        </w:drawing>
      </w:r>
    </w:p>
    <w:p>
      <w:pPr>
        <w:pStyle w:val="BodyTextIndent"/>
        <w:rPr/>
      </w:pPr>
      <w:r>
        <w:rPr/>
      </w:r>
    </w:p>
    <w:p>
      <w:pPr>
        <w:pStyle w:val="BodyTextIndent"/>
        <w:rPr/>
      </w:pPr>
      <w:r>
        <w:rPr/>
        <w:t>If this proposal is to move forward, then two other criteria must be met:</w:t>
      </w:r>
    </w:p>
    <w:p>
      <w:pPr>
        <w:pStyle w:val="Normal"/>
        <w:ind w:start="720" w:end="0"/>
        <w:rPr/>
      </w:pPr>
      <w:r>
        <w:rPr/>
      </w:r>
    </w:p>
    <w:p>
      <w:pPr>
        <w:pStyle w:val="Normal"/>
        <w:numPr>
          <w:ilvl w:val="0"/>
          <w:numId w:val="4"/>
        </w:numPr>
        <w:rPr>
          <w:smallCaps/>
        </w:rPr>
      </w:pPr>
      <w:r>
        <w:rPr/>
        <w:t>Practices for analyzing and approving/denying schedules must be standardized and publicly posted to ensure comparable treatment</w:t>
      </w:r>
    </w:p>
    <w:p>
      <w:pPr>
        <w:pStyle w:val="Normal"/>
        <w:numPr>
          <w:ilvl w:val="0"/>
          <w:numId w:val="4"/>
        </w:numPr>
        <w:rPr>
          <w:smallCaps/>
        </w:rPr>
      </w:pPr>
      <w:r>
        <w:rPr/>
        <w:t>Flow information, including forecasts, must be made available to TCs so they may verify schedule denials are made in a comparable manner</w:t>
      </w:r>
    </w:p>
    <w:p>
      <w:pPr>
        <w:pStyle w:val="Normal"/>
        <w:rPr>
          <w:smallCaps/>
        </w:rPr>
      </w:pPr>
      <w:r>
        <w:rPr>
          <w:smallCaps/>
        </w:rPr>
      </w:r>
    </w:p>
    <w:p>
      <w:pPr>
        <w:pStyle w:val="BodyText2"/>
        <w:rPr>
          <w:smallCaps/>
        </w:rPr>
      </w:pPr>
      <w:r>
        <w:rPr>
          <w:smallCaps/>
        </w:rPr>
        <w:t>Discussion:</w:t>
      </w:r>
    </w:p>
    <w:p>
      <w:pPr>
        <w:pStyle w:val="Normal"/>
        <w:rPr>
          <w:b/>
          <w:bCs/>
          <w:smallCaps/>
        </w:rPr>
      </w:pPr>
      <w:r>
        <w:rPr>
          <w:b/>
          <w:bCs/>
          <w:smallCaps/>
        </w:rPr>
      </w:r>
    </w:p>
    <w:p>
      <w:pPr>
        <w:pStyle w:val="Normal"/>
        <w:rPr/>
      </w:pPr>
      <w:r>
        <w:rPr/>
        <w:t xml:space="preserve"> </w:t>
      </w:r>
      <w:r>
        <w:rPr/>
        <w:t>The following items were brought up throughout the course of the discussions.</w:t>
      </w:r>
    </w:p>
    <w:p>
      <w:pPr>
        <w:pStyle w:val="Normal"/>
        <w:rPr/>
      </w:pPr>
      <w:r>
        <w:rPr/>
      </w:r>
    </w:p>
    <w:p>
      <w:pPr>
        <w:pStyle w:val="Heading2"/>
        <w:ind w:hanging="0" w:start="0"/>
        <w:rPr/>
      </w:pPr>
      <w:r>
        <w:rPr/>
        <w:t>What are other TPs doing?</w:t>
      </w:r>
    </w:p>
    <w:p>
      <w:pPr>
        <w:pStyle w:val="Normal"/>
        <w:ind w:start="720" w:end="0"/>
        <w:rPr/>
      </w:pPr>
      <w:r>
        <w:rPr/>
        <w:t xml:space="preserve">It was uncertain how other TPs currently handle this issue.  It was decided, then, that the MISO would conduct a survey to discover what practices exist today.  It is important to note that this survey is for </w:t>
      </w:r>
      <w:r>
        <w:rPr>
          <w:i/>
          <w:iCs/>
        </w:rPr>
        <w:t>discovery</w:t>
      </w:r>
      <w:r>
        <w:rPr/>
        <w:t xml:space="preserve"> purposes, and is not intended to provide direction toward a particular methodology.</w:t>
      </w:r>
    </w:p>
    <w:p>
      <w:pPr>
        <w:pStyle w:val="Heading2"/>
        <w:ind w:hanging="0" w:start="0"/>
        <w:rPr/>
      </w:pPr>
      <w:r>
        <w:rPr/>
      </w:r>
    </w:p>
    <w:p>
      <w:pPr>
        <w:pStyle w:val="Heading2"/>
        <w:ind w:hanging="0" w:start="0"/>
        <w:rPr/>
      </w:pPr>
      <w:r>
        <w:rPr/>
        <w:t>Confusing POR/POD Naming</w:t>
      </w:r>
    </w:p>
    <w:p>
      <w:pPr>
        <w:pStyle w:val="BodyTextIndent"/>
        <w:rPr/>
      </w:pPr>
      <w:r>
        <w:rPr/>
        <w:t>The proposed practice of listing PORs and/or PODs that may be outside the scope of the providers RTO boundaries is confusing and should be avoided.  Instead, references to the adjoining RTO should be used.  For example:</w:t>
      </w:r>
    </w:p>
    <w:p>
      <w:pPr>
        <w:pStyle w:val="Normal"/>
        <w:ind w:start="720" w:end="0"/>
        <w:rPr/>
      </w:pPr>
      <w:r>
        <w:rPr/>
      </w:r>
    </w:p>
    <w:p>
      <w:pPr>
        <w:pStyle w:val="Normal"/>
        <w:ind w:start="720" w:end="0"/>
        <w:rPr/>
      </w:pPr>
      <w:r>
        <w:rPr/>
        <w:t>SPP Reservation | POR= Entergy, POD = Cinergy</w:t>
      </w:r>
    </w:p>
    <w:p>
      <w:pPr>
        <w:pStyle w:val="Normal"/>
        <w:ind w:start="720" w:end="0"/>
        <w:rPr/>
      </w:pPr>
      <w:r>
        <w:rPr/>
        <w:t xml:space="preserve"> </w:t>
      </w:r>
    </w:p>
    <w:p>
      <w:pPr>
        <w:pStyle w:val="Normal"/>
        <w:ind w:start="720" w:end="0"/>
        <w:rPr/>
      </w:pPr>
      <w:r>
        <w:rPr/>
        <w:t>Should be replaced with</w:t>
      </w:r>
    </w:p>
    <w:p>
      <w:pPr>
        <w:pStyle w:val="Normal"/>
        <w:ind w:start="720" w:end="0"/>
        <w:rPr/>
      </w:pPr>
      <w:r>
        <w:rPr/>
      </w:r>
    </w:p>
    <w:p>
      <w:pPr>
        <w:pStyle w:val="Normal"/>
        <w:ind w:start="720" w:end="0"/>
        <w:rPr/>
      </w:pPr>
      <w:r>
        <w:rPr/>
        <w:t xml:space="preserve">SPP Reservation | POR = Entergy, POD = MISO </w:t>
      </w:r>
    </w:p>
    <w:p>
      <w:pPr>
        <w:pStyle w:val="Normal"/>
        <w:ind w:start="720" w:end="0"/>
        <w:rPr/>
      </w:pPr>
      <w:r>
        <w:rPr/>
      </w:r>
    </w:p>
    <w:p>
      <w:pPr>
        <w:pStyle w:val="Normal"/>
        <w:ind w:start="720" w:end="0"/>
        <w:rPr/>
      </w:pPr>
      <w:r>
        <w:rPr>
          <w:b/>
          <w:bCs/>
        </w:rPr>
        <w:t>Resolution:</w:t>
      </w:r>
      <w:r>
        <w:rPr/>
        <w:t xml:space="preserve"> The MISO will investigate this procedure and attempt to rectify</w:t>
      </w:r>
    </w:p>
    <w:p>
      <w:pPr>
        <w:pStyle w:val="Normal"/>
        <w:rPr/>
      </w:pPr>
      <w:r>
        <w:rPr/>
        <w:tab/>
      </w:r>
    </w:p>
    <w:p>
      <w:pPr>
        <w:pStyle w:val="BodyText2"/>
        <w:rPr/>
      </w:pPr>
      <w:r>
        <w:rPr/>
        <w:t>MISO Proposal (i.e., #2) assumes there will always be a reservation request at the time of scheduling.</w:t>
      </w:r>
    </w:p>
    <w:p>
      <w:pPr>
        <w:pStyle w:val="BodyTextIndent"/>
        <w:rPr/>
      </w:pPr>
      <w:r>
        <w:rPr/>
        <w:t>This assumption seems to be flawed.  Under Proposal 2,it is possible for a speculative purchaser of transmission to find them unable to use their transmission because they cannot find a transaction that can use it (due to the “minimum one reservation” rule.</w:t>
      </w:r>
    </w:p>
    <w:p>
      <w:pPr>
        <w:pStyle w:val="Normal"/>
        <w:ind w:start="720" w:end="0"/>
        <w:rPr/>
      </w:pPr>
      <w:r>
        <w:rPr/>
      </w:r>
    </w:p>
    <w:p>
      <w:pPr>
        <w:pStyle w:val="Normal"/>
        <w:ind w:start="720" w:end="0"/>
        <w:rPr/>
      </w:pPr>
      <w:r>
        <w:rPr/>
        <w:t xml:space="preserve">Example: </w:t>
      </w:r>
    </w:p>
    <w:p>
      <w:pPr>
        <w:pStyle w:val="Normal"/>
        <w:ind w:start="720" w:end="0"/>
        <w:rPr/>
      </w:pPr>
      <w:r>
        <w:rPr/>
        <w:t>Assume 2 speculative transmission reservations:</w:t>
      </w:r>
    </w:p>
    <w:p>
      <w:pPr>
        <w:pStyle w:val="Normal"/>
        <w:ind w:start="720" w:end="0"/>
        <w:rPr/>
      </w:pPr>
      <w:r>
        <w:rPr/>
        <w:t>Reservation 1 – MISO Transmission</w:t>
      </w:r>
    </w:p>
    <w:p>
      <w:pPr>
        <w:pStyle w:val="Normal"/>
        <w:ind w:start="720" w:end="0"/>
        <w:rPr/>
      </w:pPr>
      <w:r>
        <w:rPr/>
        <w:tab/>
        <w:tab/>
        <w:t>POR = LGE</w:t>
        <w:tab/>
        <w:t>POD = CIN</w:t>
      </w:r>
    </w:p>
    <w:p>
      <w:pPr>
        <w:pStyle w:val="Normal"/>
        <w:ind w:start="720" w:end="0"/>
        <w:rPr/>
      </w:pPr>
      <w:r>
        <w:rPr/>
        <w:tab/>
        <w:tab/>
        <w:t>Source = LGE</w:t>
        <w:tab/>
        <w:t>Sink = CIN</w:t>
      </w:r>
    </w:p>
    <w:p>
      <w:pPr>
        <w:pStyle w:val="Normal"/>
        <w:ind w:start="720" w:end="0"/>
        <w:rPr/>
      </w:pPr>
      <w:r>
        <w:rPr/>
        <w:t>Reservation 2 – MISO Transmission</w:t>
      </w:r>
    </w:p>
    <w:p>
      <w:pPr>
        <w:pStyle w:val="Normal"/>
        <w:ind w:start="720" w:end="0"/>
        <w:rPr/>
      </w:pPr>
      <w:r>
        <w:rPr/>
        <w:tab/>
        <w:tab/>
        <w:t>POR = CIN</w:t>
        <w:tab/>
        <w:t>POD = MP</w:t>
      </w:r>
    </w:p>
    <w:p>
      <w:pPr>
        <w:pStyle w:val="Normal"/>
        <w:ind w:start="720" w:end="0"/>
        <w:rPr/>
      </w:pPr>
      <w:r>
        <w:rPr/>
        <w:tab/>
        <w:tab/>
        <w:t>Source = CIN</w:t>
        <w:tab/>
        <w:t>Sink = MP</w:t>
      </w:r>
    </w:p>
    <w:p>
      <w:pPr>
        <w:pStyle w:val="Normal"/>
        <w:ind w:start="720" w:end="0"/>
        <w:rPr/>
      </w:pPr>
      <w:r>
        <w:rPr/>
      </w:r>
    </w:p>
    <w:p>
      <w:pPr>
        <w:pStyle w:val="Normal"/>
        <w:ind w:start="720" w:end="0"/>
        <w:rPr/>
      </w:pPr>
      <w:r>
        <w:rPr/>
        <w:t>At scheduling time, the TCs wish to schedule from LGE to MP.  However, under Proposal 2, they would be required to buy either one of the following reservations, effectively losing the value of either Reservation 1 or 2 (depending on which they purchased):</w:t>
      </w:r>
    </w:p>
    <w:p>
      <w:pPr>
        <w:pStyle w:val="Normal"/>
        <w:ind w:start="720" w:end="0"/>
        <w:rPr/>
      </w:pPr>
      <w:r>
        <w:rPr/>
      </w:r>
    </w:p>
    <w:p>
      <w:pPr>
        <w:pStyle w:val="Normal"/>
        <w:ind w:start="720" w:end="0"/>
        <w:rPr/>
      </w:pPr>
      <w:r>
        <w:rPr/>
        <w:t>Reservation 3 – MISO Transmission</w:t>
      </w:r>
    </w:p>
    <w:p>
      <w:pPr>
        <w:pStyle w:val="Normal"/>
        <w:ind w:start="720" w:end="0"/>
        <w:rPr/>
      </w:pPr>
      <w:r>
        <w:rPr/>
        <w:tab/>
        <w:tab/>
        <w:t>POR = LGE</w:t>
        <w:tab/>
        <w:t>POD = CIN</w:t>
      </w:r>
    </w:p>
    <w:p>
      <w:pPr>
        <w:pStyle w:val="Normal"/>
        <w:ind w:start="720" w:end="0"/>
        <w:rPr/>
      </w:pPr>
      <w:r>
        <w:rPr/>
        <w:tab/>
        <w:tab/>
        <w:t>Source = LGE</w:t>
        <w:tab/>
        <w:t>Sink = MP</w:t>
      </w:r>
    </w:p>
    <w:p>
      <w:pPr>
        <w:pStyle w:val="Normal"/>
        <w:ind w:start="720" w:end="0"/>
        <w:rPr/>
      </w:pPr>
      <w:r>
        <w:rPr/>
        <w:t>Reservation 4 – MISO Transmission</w:t>
      </w:r>
    </w:p>
    <w:p>
      <w:pPr>
        <w:pStyle w:val="Normal"/>
        <w:ind w:start="720" w:end="0"/>
        <w:rPr/>
      </w:pPr>
      <w:r>
        <w:rPr/>
        <w:tab/>
        <w:tab/>
        <w:t>POR = CIN</w:t>
        <w:tab/>
        <w:t>POD = MP</w:t>
      </w:r>
    </w:p>
    <w:p>
      <w:pPr>
        <w:pStyle w:val="Normal"/>
        <w:ind w:start="720" w:end="0"/>
        <w:rPr/>
      </w:pPr>
      <w:r>
        <w:rPr/>
        <w:tab/>
        <w:tab/>
        <w:t>Source = LGE</w:t>
        <w:tab/>
        <w:t>Sink = MP</w:t>
      </w:r>
    </w:p>
    <w:p>
      <w:pPr>
        <w:pStyle w:val="Normal"/>
        <w:ind w:start="720" w:end="0"/>
        <w:rPr/>
      </w:pPr>
      <w:r>
        <w:rPr/>
      </w:r>
    </w:p>
    <w:p>
      <w:pPr>
        <w:pStyle w:val="Normal"/>
        <w:ind w:start="720" w:end="0"/>
        <w:rPr/>
      </w:pPr>
      <w:r>
        <w:rPr/>
        <w:t xml:space="preserve">In this case (and probably in most cases), despite the fact that the reservations are simple and straightforward and the ultimate source and sink is reflected in the combined reservations, Proposal 2 forces the arrangement and cost of an unnecessary third reservation because of the need for a “Source to Sink” reservation.  One option to address this might be to allow Reservation 2 or 1 to be </w:t>
      </w:r>
      <w:r>
        <w:rPr>
          <w:i/>
          <w:iCs/>
        </w:rPr>
        <w:t>partially</w:t>
      </w:r>
      <w:r>
        <w:rPr/>
        <w:t xml:space="preserve"> redirected without a corresponding loss in firmness or compromising of rollover rights (hereafter referred to as the </w:t>
      </w:r>
      <w:r>
        <w:rPr>
          <w:i/>
          <w:iCs/>
        </w:rPr>
        <w:t>Separate Proposal</w:t>
      </w:r>
      <w:r>
        <w:rPr/>
        <w:t xml:space="preserve">).  Precedent for this procedure has been established in the April 9, 2001 FERC Issuance </w:t>
      </w:r>
      <w:r>
        <w:rPr>
          <w:i/>
          <w:iCs/>
        </w:rPr>
        <w:t xml:space="preserve">Order Accepting for Filing Transmission Service Agreements and Denying Request to Withdraw Agreement (Dockets ER01-1028-000 and ER01-1028-001), </w:t>
      </w:r>
      <w:r>
        <w:rPr/>
        <w:t>although rules as to limits upon redirection are specifically noted as absent from the Order.</w:t>
      </w:r>
    </w:p>
    <w:p>
      <w:pPr>
        <w:pStyle w:val="Normal"/>
        <w:ind w:start="720" w:end="0"/>
        <w:rPr/>
      </w:pPr>
      <w:r>
        <w:rPr/>
      </w:r>
    </w:p>
    <w:p>
      <w:pPr>
        <w:pStyle w:val="BodyText2"/>
        <w:rPr/>
      </w:pPr>
      <w:r>
        <w:rPr/>
        <w:t>MISO Proposal (#2) may result in TPs being paid twice.</w:t>
      </w:r>
    </w:p>
    <w:p>
      <w:pPr>
        <w:pStyle w:val="BodyTextIndent"/>
        <w:rPr/>
      </w:pPr>
      <w:r>
        <w:rPr/>
        <w:t>While transactions sinking in a particular TP may be using Network Service (and therefore be somewhat exempt from the need to buy additional service), in those situations where the transaction does NOT sink in a TP that is signatory to the agreement, there will be a need to, at a minimum, buy (or arrange) one leg of service at the time of scheduling.  This may be a duplicate of service already held by the TC.  As discussed in the previous similar point, the Separate Proposal (i.e., allowing for partial redirection of service without a corresponding loss in firmness or compromising of rollover rights) may help address this problem.</w:t>
      </w:r>
    </w:p>
    <w:p>
      <w:pPr>
        <w:pStyle w:val="Normal"/>
        <w:rPr/>
      </w:pPr>
      <w:r>
        <w:rPr/>
      </w:r>
    </w:p>
    <w:p>
      <w:pPr>
        <w:pStyle w:val="BodyText2"/>
        <w:rPr/>
      </w:pPr>
      <w:r>
        <w:rPr/>
        <w:t>Proposal 3 will be difficult to implement.</w:t>
      </w:r>
    </w:p>
    <w:p>
      <w:pPr>
        <w:pStyle w:val="BodyTextIndent"/>
        <w:rPr/>
      </w:pPr>
      <w:r>
        <w:rPr/>
        <w:t>While everyone is in agreement that all the requisite analysis is already being done to accomplish Proposal 3, there are some concerns that it cannot be implemented soon enough, particularly due to the need for presentation of the information and integration info a local relief procedure that runs on top of NERC TLR.  Some discussion was put forth that perhaps a good compromise would be to utilize Proposal 1A until Proposal 3 could be implemented.</w:t>
      </w:r>
    </w:p>
    <w:p>
      <w:pPr>
        <w:pStyle w:val="Normal"/>
        <w:rPr/>
      </w:pPr>
      <w:r>
        <w:rPr/>
      </w:r>
    </w:p>
    <w:p>
      <w:pPr>
        <w:pStyle w:val="Normal"/>
        <w:ind w:start="1080" w:end="0"/>
        <w:rPr/>
      </w:pPr>
      <w:r>
        <w:rPr/>
      </w:r>
    </w:p>
    <w:p>
      <w:pPr>
        <w:pStyle w:val="Normal"/>
        <w:rPr/>
      </w:pPr>
      <w:r>
        <w:rPr/>
      </w:r>
    </w:p>
    <w:p>
      <w:pPr>
        <w:pStyle w:val="Normal"/>
        <w:rPr/>
      </w:pPr>
      <w:r>
        <w:rPr/>
      </w:r>
      <w:r>
        <w:br w:type="page"/>
      </w:r>
    </w:p>
    <w:p>
      <w:pPr>
        <w:pStyle w:val="Heading2"/>
        <w:ind w:hanging="0" w:start="0"/>
        <w:rPr>
          <w:smallCaps/>
        </w:rPr>
      </w:pPr>
      <w:r>
        <w:rPr>
          <w:smallCaps/>
        </w:rPr>
        <w:t>Resolutions:</w:t>
      </w:r>
    </w:p>
    <w:p>
      <w:pPr>
        <w:pStyle w:val="Normal"/>
        <w:rPr>
          <w:smallCaps/>
        </w:rPr>
      </w:pPr>
      <w:r>
        <w:rPr>
          <w:smallCaps/>
        </w:rPr>
      </w:r>
    </w:p>
    <w:p>
      <w:pPr>
        <w:pStyle w:val="Normal"/>
        <w:rPr/>
      </w:pPr>
      <w:r>
        <w:rPr/>
        <w:t>Following the discussions above, the following resolutions were put forth.</w:t>
      </w:r>
    </w:p>
    <w:p>
      <w:pPr>
        <w:pStyle w:val="Normal"/>
        <w:rPr/>
      </w:pPr>
      <w:r>
        <w:rPr/>
      </w:r>
    </w:p>
    <w:p>
      <w:pPr>
        <w:pStyle w:val="Normal"/>
        <w:rPr/>
      </w:pPr>
      <w:r>
        <w:rPr/>
      </w:r>
    </w:p>
    <w:p>
      <w:pPr>
        <w:pStyle w:val="Normal"/>
        <w:rPr/>
      </w:pPr>
      <w:r>
        <w:rPr/>
      </w:r>
    </w:p>
    <w:p>
      <w:pPr>
        <w:pStyle w:val="Normal"/>
        <w:rPr/>
      </w:pPr>
      <w:r>
        <w:rPr/>
      </w:r>
    </w:p>
    <w:p>
      <w:pPr>
        <w:pStyle w:val="Normal"/>
        <w:rPr/>
      </w:pPr>
      <w:r>
        <w:rPr/>
        <w:t>The MISO will pursue Tariff changes necessary to implement Proposal 4 (or a similar proposal based on allowing evaluations at the time of scheduling).  Some alternate proposals were to not back improperly scheduled firm with ReDispatch, curtail improperly scheduled firm before curtailing properly scheduled firm, or even a process similar to Proposal 3 (the portion of firm improperly scheduled is not backed by ReDispatch, while the properly scheduled portion is so backed).</w:t>
      </w:r>
    </w:p>
    <w:p>
      <w:pPr>
        <w:pStyle w:val="Normal"/>
        <w:rPr/>
      </w:pPr>
      <w:r>
        <w:rPr/>
      </w:r>
    </w:p>
    <w:p>
      <w:pPr>
        <w:pStyle w:val="Normal"/>
        <w:rPr/>
      </w:pPr>
      <w:r>
        <w:rPr/>
        <w:t>The Separate Proposal (i.e., allowing for partial redirection of service without a corresponding loss in firmness or compromising of rollover rights) will be discussed as another method to aid in addressing this issue, but will not be considered necessarily a part of this discussion.</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440"/>
        </w:tabs>
        <w:ind w:start="144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sz w:val="3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2001-07-12T16:49:00Z</dcterms:created>
  <dc:creator>arodriqu</dc:creator>
  <dc:description/>
  <dc:language>en-CA</dc:language>
  <cp:lastModifiedBy>arodriqu</cp:lastModifiedBy>
  <dcterms:modified xsi:type="dcterms:W3CDTF">2001-07-12T16:49:00Z</dcterms:modified>
  <cp:revision>2</cp:revision>
  <dc:subject/>
  <dc:title>Summary of Partial Path Reservations Small Group meeting</dc:title>
</cp:coreProperties>
</file>