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rPr>
      </w:pPr>
      <w:r>
        <w:rPr>
          <w:rFonts w:cs="Times New Roman" w:ascii="Times New Roman" w:hAnsi="Times New Roman"/>
        </w:rPr>
        <w:t xml:space="preserve"> </w:t>
      </w:r>
    </w:p>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rPr>
        <w:t>UNITED STATES OF AMERICA</w:t>
      </w:r>
    </w:p>
    <w:p>
      <w:pPr>
        <w:pStyle w:val="Center"/>
        <w:widowControl/>
        <w:spacing w:lineRule="auto" w:line="240" w:before="0" w:after="0"/>
        <w:rPr>
          <w:rFonts w:ascii="Times New Roman" w:hAnsi="Times New Roman" w:cs="Times New Roman"/>
          <w:b/>
          <w:bCs/>
        </w:rPr>
      </w:pPr>
      <w:r>
        <w:rPr>
          <w:rFonts w:cs="Times New Roman" w:ascii="Times New Roman" w:hAnsi="Times New Roman"/>
          <w:b/>
          <w:bCs/>
        </w:rPr>
        <w:t>BEFORE THE</w:t>
      </w:r>
    </w:p>
    <w:p>
      <w:pPr>
        <w:pStyle w:val="Normal"/>
        <w:jc w:val="center"/>
        <w:rPr>
          <w:b/>
          <w:bCs/>
        </w:rPr>
      </w:pPr>
      <w:r>
        <w:rPr>
          <w:b/>
          <w:bCs/>
        </w:rPr>
        <w:t>FEDERAL ENERGY REGULATORY COMMISSION</w:t>
      </w:r>
    </w:p>
    <w:p>
      <w:pPr>
        <w:pStyle w:val="Normal"/>
        <w:spacing w:lineRule="auto" w:line="480"/>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bCs/>
              </w:rPr>
            </w:pPr>
            <w:r>
              <w:rPr>
                <w:b/>
                <w:bCs/>
              </w:rPr>
              <w:t>Midwest Independent Transmission System Operator, Inc.</w:t>
            </w:r>
          </w:p>
        </w:tc>
        <w:tc>
          <w:tcPr>
            <w:tcW w:w="1530" w:type="dxa"/>
            <w:tcBorders/>
          </w:tcPr>
          <w:p>
            <w:pPr>
              <w:pStyle w:val="TitleStyle"/>
              <w:widowControl/>
              <w:rPr>
                <w:rFonts w:ascii="Times New Roman" w:hAnsi="Times New Roman" w:cs="Times New Roman"/>
              </w:rPr>
            </w:pPr>
            <w:r>
              <w:rPr>
                <w:rFonts w:cs="Times New Roman" w:ascii="Times New Roman" w:hAnsi="Times New Roman"/>
              </w:rPr>
              <w:t>)</w:t>
            </w:r>
          </w:p>
          <w:p>
            <w:pPr>
              <w:pStyle w:val="TitleStyle"/>
              <w:widowControl/>
              <w:rPr>
                <w:rFonts w:ascii="Times New Roman" w:hAnsi="Times New Roman" w:cs="Times New Roman"/>
              </w:rPr>
            </w:pPr>
            <w:r>
              <w:rPr>
                <w:rFonts w:cs="Times New Roman" w:ascii="Times New Roman" w:hAnsi="Times New Roman"/>
              </w:rPr>
              <w:t>)</w:t>
            </w:r>
          </w:p>
        </w:tc>
        <w:tc>
          <w:tcPr>
            <w:tcW w:w="3798" w:type="dxa"/>
            <w:tcBorders/>
          </w:tcPr>
          <w:p>
            <w:pPr>
              <w:pStyle w:val="TitleStyle"/>
              <w:widowControl/>
              <w:rPr>
                <w:rFonts w:ascii="Times New Roman" w:hAnsi="Times New Roman" w:cs="Times New Roman"/>
              </w:rPr>
            </w:pPr>
            <w:r>
              <w:rPr>
                <w:rFonts w:cs="Times New Roman" w:ascii="Times New Roman" w:hAnsi="Times New Roman"/>
              </w:rPr>
              <w:t>Docket No. ER02-103-000</w:t>
            </w:r>
          </w:p>
        </w:tc>
      </w:tr>
    </w:tbl>
    <w:p>
      <w:pPr>
        <w:pStyle w:val="Normal"/>
        <w:rPr/>
      </w:pPr>
      <w:r>
        <w:rPr/>
      </w:r>
    </w:p>
    <w:p>
      <w:pPr>
        <w:pStyle w:val="Normal"/>
        <w:jc w:val="center"/>
        <w:rPr/>
      </w:pPr>
      <w:r>
        <w:rPr/>
      </w:r>
    </w:p>
    <w:p>
      <w:pPr>
        <w:pStyle w:val="Normal"/>
        <w:jc w:val="center"/>
        <w:rPr>
          <w:b/>
          <w:bCs/>
        </w:rPr>
      </w:pPr>
      <w:r>
        <w:rPr>
          <w:b/>
          <w:bCs/>
        </w:rPr>
        <w:t xml:space="preserve">INTERVENTION AND PROTEST OF </w:t>
      </w:r>
    </w:p>
    <w:p>
      <w:pPr>
        <w:pStyle w:val="Normal"/>
        <w:jc w:val="center"/>
        <w:rPr>
          <w:b/>
          <w:bCs/>
        </w:rPr>
      </w:pPr>
      <w:r>
        <w:rPr>
          <w:b/>
          <w:bCs/>
        </w:rPr>
        <w:t xml:space="preserve"> </w:t>
      </w:r>
      <w:r>
        <w:rPr>
          <w:b/>
          <w:bCs/>
        </w:rPr>
        <w:t xml:space="preserve">ENRON POWER MARKETING, INC. </w:t>
      </w:r>
    </w:p>
    <w:p>
      <w:pPr>
        <w:pStyle w:val="Normal"/>
        <w:jc w:val="both"/>
        <w:rPr>
          <w:b/>
          <w:bCs/>
        </w:rPr>
      </w:pPr>
      <w:r>
        <w:rPr>
          <w:b/>
          <w:bCs/>
        </w:rPr>
      </w:r>
    </w:p>
    <w:p>
      <w:pPr>
        <w:pStyle w:val="BodyText"/>
        <w:tabs>
          <w:tab w:val="clear" w:pos="720"/>
        </w:tabs>
        <w:ind w:firstLine="720" w:end="0"/>
        <w:rPr/>
      </w:pPr>
      <w:r>
        <w:rPr/>
        <w:t>Pursuant to Rules 211 and 214 of the Rules of Practice and Procedure of the Federal Energy Regulatory Commission (Commission), 18 C.F.R. 211 and 214, and the Commission’s October 18, 2001 Notice of Filing, Enron Power Marketing, Inc. (“EPMI”) hereby moves to intervene and protest in the above-captioned proceeding.</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center"/>
        <w:rPr>
          <w:b/>
          <w:u w:val="single"/>
        </w:rPr>
      </w:pPr>
      <w:r>
        <w:rPr>
          <w:b/>
          <w:u w:val="single"/>
        </w:rPr>
      </w:r>
    </w:p>
    <w:p>
      <w:pPr>
        <w:pStyle w:val="BodyText"/>
        <w:tabs>
          <w:tab w:val="clear" w:pos="720"/>
        </w:tabs>
        <w:rPr/>
      </w:pPr>
      <w:r>
        <w:rPr/>
        <w:t>Communications and correspondence regarding this proceeding should be directed to:</w:t>
      </w:r>
    </w:p>
    <w:p>
      <w:pPr>
        <w:pStyle w:val="Normal"/>
        <w:spacing w:lineRule="auto" w:line="214"/>
        <w:ind w:firstLine="720" w:end="0"/>
        <w:jc w:val="both"/>
        <w:rPr/>
      </w:pPr>
      <w:r>
        <w:rPr/>
        <w:tab/>
        <w:tab/>
        <w:tab/>
        <w:tab/>
        <w:tab/>
        <w:tab/>
        <w:t>Christi L. Nicolay</w:t>
      </w:r>
    </w:p>
    <w:p>
      <w:pPr>
        <w:pStyle w:val="Normal"/>
        <w:spacing w:lineRule="auto" w:line="214"/>
        <w:ind w:firstLine="720" w:end="0"/>
        <w:jc w:val="both"/>
        <w:rPr/>
      </w:pPr>
      <w:r>
        <w:rPr/>
        <w:t>Sarah Novosel</w:t>
        <w:tab/>
        <w:tab/>
        <w:tab/>
        <w:tab/>
        <w:tab/>
        <w:t>Susan Scott Lindberg</w:t>
      </w:r>
    </w:p>
    <w:p>
      <w:pPr>
        <w:pStyle w:val="Normal"/>
        <w:spacing w:lineRule="auto" w:line="214"/>
        <w:ind w:start="720" w:end="0"/>
        <w:jc w:val="both"/>
        <w:rPr/>
      </w:pPr>
      <w:r>
        <w:rPr/>
        <w:t>Federal Regulatory Affairs</w:t>
        <w:tab/>
        <w:tab/>
        <w:tab/>
        <w:t>Federal Regulatory Affairs</w:t>
      </w:r>
    </w:p>
    <w:p>
      <w:pPr>
        <w:pStyle w:val="Normal"/>
        <w:tabs>
          <w:tab w:val="clear" w:pos="720"/>
          <w:tab w:val="left" w:pos="-1440" w:leader="none"/>
        </w:tabs>
        <w:spacing w:lineRule="auto" w:line="214"/>
        <w:ind w:hanging="4320" w:start="5040" w:end="0"/>
        <w:jc w:val="both"/>
        <w:rPr/>
      </w:pPr>
      <w:r>
        <w:rPr/>
        <w:t>Enron Corp.</w:t>
        <w:tab/>
        <w:t>Enron Corp.</w:t>
      </w:r>
    </w:p>
    <w:p>
      <w:pPr>
        <w:pStyle w:val="Normal"/>
        <w:spacing w:lineRule="auto" w:line="214"/>
        <w:ind w:firstLine="720" w:end="0"/>
        <w:jc w:val="both"/>
        <w:rPr/>
      </w:pPr>
      <w:r>
        <w:rPr/>
        <w:t>1775 Eye Street, N.W., Suite 800</w:t>
        <w:tab/>
        <w:tab/>
        <w:t>1400 Smith Street</w:t>
      </w:r>
    </w:p>
    <w:p>
      <w:pPr>
        <w:pStyle w:val="Normal"/>
        <w:tabs>
          <w:tab w:val="clear" w:pos="720"/>
          <w:tab w:val="left" w:pos="-1440" w:leader="none"/>
        </w:tabs>
        <w:spacing w:lineRule="auto" w:line="214"/>
        <w:ind w:hanging="2880" w:start="3600" w:end="0"/>
        <w:jc w:val="both"/>
        <w:rPr/>
      </w:pPr>
      <w:r>
        <w:rPr/>
        <w:t>Washington, D.C.  20006</w:t>
        <w:tab/>
        <w:tab/>
        <w:tab/>
        <w:t>Houston, TX   77002</w:t>
      </w:r>
    </w:p>
    <w:p>
      <w:pPr>
        <w:pStyle w:val="Normal"/>
        <w:spacing w:lineRule="auto" w:line="214"/>
        <w:ind w:firstLine="720" w:end="0"/>
        <w:jc w:val="both"/>
        <w:rPr/>
      </w:pPr>
      <w:r>
        <w:rPr/>
        <w:t>(202) 466-9160</w:t>
        <w:tab/>
        <w:tab/>
        <w:tab/>
        <w:tab/>
        <w:t>(713) 853-0596</w:t>
      </w:r>
    </w:p>
    <w:p>
      <w:pPr>
        <w:pStyle w:val="Normal"/>
        <w:spacing w:lineRule="auto" w:line="214"/>
        <w:ind w:firstLine="720" w:end="0"/>
        <w:jc w:val="both"/>
        <w:rPr/>
      </w:pPr>
      <w:r>
        <w:rPr/>
        <w:t>(202) 955-8496 (fax)</w:t>
        <w:tab/>
        <w:tab/>
        <w:tab/>
        <w:tab/>
        <w:t>(713) 646-8160 (fax)</w:t>
      </w:r>
    </w:p>
    <w:p>
      <w:pPr>
        <w:pStyle w:val="Normal"/>
        <w:spacing w:lineRule="auto" w:line="214"/>
        <w:ind w:firstLine="720" w:end="0"/>
        <w:jc w:val="both"/>
        <w:rPr/>
      </w:pPr>
      <w:r>
        <w:rPr/>
        <w:t>sarah.novosel@enron.com</w:t>
        <w:tab/>
        <w:tab/>
        <w:tab/>
        <w:t>susan.lindberg@enron.com</w:t>
      </w:r>
    </w:p>
    <w:p>
      <w:pPr>
        <w:pStyle w:val="Normal"/>
        <w:tabs>
          <w:tab w:val="clear" w:pos="720"/>
          <w:tab w:val="left" w:pos="-1440" w:leader="none"/>
        </w:tabs>
        <w:spacing w:lineRule="auto" w:line="214"/>
        <w:ind w:hanging="5040" w:start="5760" w:end="0"/>
        <w:jc w:val="both"/>
        <w:rPr/>
      </w:pPr>
      <w:r>
        <w:rPr/>
      </w:r>
    </w:p>
    <w:p>
      <w:pPr>
        <w:pStyle w:val="Normal"/>
        <w:jc w:val="both"/>
        <w:rPr/>
      </w:pPr>
      <w:r>
        <w:rPr/>
        <w:tab/>
        <w:t>Kerry Stroup</w:t>
      </w:r>
    </w:p>
    <w:p>
      <w:pPr>
        <w:pStyle w:val="Normal"/>
        <w:jc w:val="both"/>
        <w:rPr/>
      </w:pPr>
      <w:r>
        <w:rPr/>
        <w:tab/>
        <w:t>Government Affairs</w:t>
      </w:r>
    </w:p>
    <w:p>
      <w:pPr>
        <w:pStyle w:val="Normal"/>
        <w:jc w:val="both"/>
        <w:rPr/>
      </w:pPr>
      <w:r>
        <w:rPr/>
        <w:tab/>
        <w:t>Enron Corp.</w:t>
      </w:r>
    </w:p>
    <w:p>
      <w:pPr>
        <w:pStyle w:val="Normal"/>
        <w:jc w:val="both"/>
        <w:rPr/>
      </w:pPr>
      <w:r>
        <w:rPr/>
        <w:tab/>
        <w:t>400 Metro Place North</w:t>
      </w:r>
    </w:p>
    <w:p>
      <w:pPr>
        <w:pStyle w:val="Normal"/>
        <w:jc w:val="both"/>
        <w:rPr/>
      </w:pPr>
      <w:r>
        <w:rPr/>
        <w:tab/>
        <w:t>Dublin, Ohio  43017-3375</w:t>
      </w:r>
    </w:p>
    <w:p>
      <w:pPr>
        <w:pStyle w:val="Normal"/>
        <w:jc w:val="both"/>
        <w:rPr/>
      </w:pPr>
      <w:r>
        <w:rPr/>
        <w:tab/>
        <w:t>614-791-6159</w:t>
      </w:r>
    </w:p>
    <w:p>
      <w:pPr>
        <w:pStyle w:val="Normal"/>
        <w:jc w:val="both"/>
        <w:rPr/>
      </w:pPr>
      <w:r>
        <w:rPr/>
        <w:tab/>
        <w:t>614-791-6149 (fax</w:t>
      </w:r>
    </w:p>
    <w:p>
      <w:pPr>
        <w:pStyle w:val="Normal"/>
        <w:jc w:val="both"/>
        <w:rPr/>
      </w:pPr>
      <w:r>
        <w:rPr/>
        <w:tab/>
      </w:r>
      <w:hyperlink r:id="rId4">
        <w:r>
          <w:rPr>
            <w:rStyle w:val="Hyperlink"/>
          </w:rPr>
          <w:t>kerry.stroup@enron.com</w:t>
        </w:r>
      </w:hyperlink>
      <w:r>
        <w:br w:type="page"/>
      </w:r>
    </w:p>
    <w:p>
      <w:pPr>
        <w:pStyle w:val="Normal"/>
        <w:jc w:val="both"/>
        <w:rPr/>
      </w:pPr>
      <w:r>
        <w:rPr/>
      </w:r>
    </w:p>
    <w:p>
      <w:pPr>
        <w:pStyle w:val="TitleStyle"/>
        <w:widowControl/>
        <w:tabs>
          <w:tab w:val="clear" w:pos="720"/>
          <w:tab w:val="center" w:pos="4680" w:leader="none"/>
        </w:tabs>
        <w:rPr>
          <w:rFonts w:ascii="Times New Roman" w:hAnsi="Times New Roman" w:cs="Times New Roman"/>
          <w:caps w:val="false"/>
          <w:smallCaps w:val="false"/>
        </w:rPr>
      </w:pPr>
      <w:r>
        <w:rPr>
          <w:rFonts w:cs="Times New Roman" w:ascii="Times New Roman" w:hAnsi="Times New Roman"/>
          <w:caps w:val="false"/>
          <w:smallCaps w:val="false"/>
        </w:rPr>
        <w:t>II.</w:t>
      </w:r>
    </w:p>
    <w:p>
      <w:pPr>
        <w:pStyle w:val="Normal"/>
        <w:tabs>
          <w:tab w:val="clear" w:pos="720"/>
          <w:tab w:val="center" w:pos="4680" w:leader="none"/>
        </w:tabs>
        <w:spacing w:lineRule="auto" w:line="480"/>
        <w:jc w:val="center"/>
        <w:rPr>
          <w:b/>
          <w:u w:val="single"/>
        </w:rPr>
      </w:pPr>
      <w:r>
        <w:rPr>
          <w:b/>
          <w:u w:val="single"/>
        </w:rPr>
        <w:t>INTERVENOR</w:t>
      </w:r>
    </w:p>
    <w:p>
      <w:pPr>
        <w:pStyle w:val="Normal"/>
        <w:spacing w:lineRule="auto" w:line="480"/>
        <w:ind w:firstLine="720" w:end="0"/>
        <w:jc w:val="both"/>
        <w:rPr/>
      </w:pPr>
      <w:r>
        <w:rPr/>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BodyTextStyle"/>
        <w:widowControl/>
        <w:spacing w:lineRule="auto" w:line="240"/>
        <w:ind w:hanging="0" w:end="0"/>
        <w:jc w:val="center"/>
        <w:rPr>
          <w:rFonts w:ascii="Times New Roman" w:hAnsi="Times New Roman" w:cs="Times New Roman"/>
          <w:b/>
        </w:rPr>
      </w:pPr>
      <w:r>
        <w:rPr>
          <w:rFonts w:cs="Times New Roman" w:ascii="Times New Roman" w:hAnsi="Times New Roman"/>
          <w:b/>
        </w:rPr>
        <w:t>III.</w:t>
      </w:r>
    </w:p>
    <w:p>
      <w:pPr>
        <w:pStyle w:val="BodyText"/>
        <w:spacing w:lineRule="auto" w:line="240"/>
        <w:jc w:val="center"/>
        <w:rPr>
          <w:b/>
        </w:rPr>
      </w:pPr>
      <w:r>
        <w:rPr>
          <w:b/>
          <w:u w:val="single"/>
        </w:rPr>
        <w:t>MOTION TO INTERVENE</w:t>
      </w:r>
    </w:p>
    <w:p>
      <w:pPr>
        <w:pStyle w:val="BodyText"/>
        <w:spacing w:lineRule="auto" w:line="240"/>
        <w:rPr>
          <w:b/>
        </w:rPr>
      </w:pPr>
      <w:r>
        <w:rPr>
          <w:b/>
        </w:rPr>
      </w:r>
    </w:p>
    <w:p>
      <w:pPr>
        <w:pStyle w:val="Normal"/>
        <w:spacing w:lineRule="auto" w:line="480"/>
        <w:ind w:firstLine="720" w:end="0"/>
        <w:jc w:val="both"/>
        <w:rPr/>
      </w:pPr>
      <w:r>
        <w:rPr/>
        <w:t>EPMI actively participates in the markets that will come under the Midwest Independent Transmission Operator (“MISO”) operational control on December 15, 2001.  EPMI will therefore be directly affected by this filing.  EPMI's interest cannot be adequately represented by any other party.  Therefore, EPMI submits that its intervention in this proceeding is in the public interest and should be granted.</w:t>
      </w:r>
    </w:p>
    <w:p>
      <w:pPr>
        <w:pStyle w:val="TitleStyle"/>
        <w:widowControl/>
        <w:tabs>
          <w:tab w:val="clear" w:pos="720"/>
          <w:tab w:val="center" w:pos="4680" w:leader="none"/>
        </w:tabs>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IV.</w:t>
      </w:r>
    </w:p>
    <w:p>
      <w:pPr>
        <w:pStyle w:val="Heading1"/>
        <w:spacing w:lineRule="auto" w:line="240"/>
        <w:ind w:hanging="0" w:start="0"/>
        <w:rPr>
          <w:u w:val="single"/>
        </w:rPr>
      </w:pPr>
      <w:r>
        <w:rPr>
          <w:u w:val="single"/>
        </w:rPr>
        <w:t>BACKGROUND</w:t>
      </w:r>
    </w:p>
    <w:p>
      <w:pPr>
        <w:pStyle w:val="Normal"/>
        <w:rPr>
          <w:u w:val="single"/>
        </w:rPr>
      </w:pPr>
      <w:r>
        <w:rPr>
          <w:u w:val="single"/>
        </w:rPr>
      </w:r>
    </w:p>
    <w:p>
      <w:pPr>
        <w:pStyle w:val="BodyText"/>
        <w:tabs>
          <w:tab w:val="clear" w:pos="720"/>
        </w:tabs>
        <w:ind w:firstLine="720" w:end="0"/>
        <w:rPr>
          <w:i/>
          <w:i/>
          <w:iCs/>
        </w:rPr>
      </w:pPr>
      <w:r>
        <w:rPr/>
        <w:t>On October 15, 2001, MISO tendered for filing a revision to Section 17.5 of its Open Access Transmission Tariff (OATT), for which it seeks an effective date of December 15, 2001.  The proposed revision is to implement a $1,000 fee on all MISO Transmission Customers who submit a request for long-term Firm Point to Point Transmission Service of one week or longer and receive acceptance of that request by MISO, but fail to confirm the acceptance on the MISO’s OASIS.</w:t>
      </w:r>
    </w:p>
    <w:p>
      <w:pPr>
        <w:pStyle w:val="BodyText"/>
        <w:tabs>
          <w:tab w:val="left" w:pos="720" w:leader="none"/>
          <w:tab w:val="center" w:pos="4320" w:leader="none"/>
        </w:tabs>
        <w:spacing w:lineRule="auto" w:line="240"/>
        <w:jc w:val="center"/>
        <w:rPr>
          <w:i/>
          <w:i/>
          <w:iCs/>
        </w:rPr>
      </w:pPr>
      <w:r>
        <w:rPr>
          <w:i/>
          <w:iCs/>
        </w:rPr>
      </w:r>
    </w:p>
    <w:p>
      <w:pPr>
        <w:pStyle w:val="BodyText"/>
        <w:tabs>
          <w:tab w:val="left" w:pos="720" w:leader="none"/>
          <w:tab w:val="center" w:pos="4320" w:leader="none"/>
        </w:tabs>
        <w:spacing w:lineRule="auto" w:line="240"/>
        <w:jc w:val="center"/>
        <w:rPr>
          <w:b/>
          <w:bCs/>
        </w:rPr>
      </w:pPr>
      <w:r>
        <w:rPr>
          <w:b/>
          <w:bCs/>
        </w:rPr>
        <w:t>V.</w:t>
      </w:r>
    </w:p>
    <w:p>
      <w:pPr>
        <w:pStyle w:val="Heading3"/>
        <w:ind w:hanging="0" w:start="0"/>
        <w:rPr/>
      </w:pPr>
      <w:r>
        <w:rPr/>
        <w:t>PROTEST</w:t>
      </w:r>
    </w:p>
    <w:p>
      <w:pPr>
        <w:pStyle w:val="Normal"/>
        <w:rPr/>
      </w:pPr>
      <w:r>
        <w:rPr/>
      </w:r>
    </w:p>
    <w:p>
      <w:pPr>
        <w:pStyle w:val="BodyTextIndent"/>
        <w:rPr/>
      </w:pPr>
      <w:r>
        <w:rPr/>
        <w:t>EPMI again requests that the Commission initiate a proceeding for the formation of one Midwestern RTO, and rquests the Commission to defer consideration of MISO's requested tariff amendment until such a proceeding is under way.  Should the Commission decide to rule on MISO's tariff amendments outside of a Midwestern RTO proceeding, EPMI requests that: 1) the Commission delay the due date for interventions and comments until MISO has made all of the tariff filings it has proposed to make, and 2) the Commission defer any ruling on such tariff filings until RTO formation in the Midwest has progressed far enough to allow the participants to evaluate the full impact of MISO's proposed OATT changes in the context of the formation of a Midwestern RTO.</w:t>
      </w:r>
      <w:r>
        <w:rPr>
          <w:rStyle w:val="FootnoteCharacters"/>
          <w:rStyle w:val="FootnoteReference"/>
        </w:rPr>
        <w:footnoteReference w:id="2"/>
      </w:r>
      <w:r>
        <w:rPr/>
        <w:t xml:space="preserve"> </w:t>
      </w:r>
    </w:p>
    <w:p>
      <w:pPr>
        <w:pStyle w:val="Normal"/>
        <w:rPr/>
      </w:pPr>
      <w:r>
        <w:rPr/>
      </w:r>
    </w:p>
    <w:p>
      <w:pPr>
        <w:pStyle w:val="BodyText2"/>
        <w:rPr/>
      </w:pPr>
      <w:r>
        <w:rPr/>
        <w:t>A.  The Commission should delay the protest deadline and review of any new OATT revisions by MISO.</w:t>
      </w:r>
    </w:p>
    <w:p>
      <w:pPr>
        <w:pStyle w:val="Normal"/>
        <w:rPr/>
      </w:pPr>
      <w:r>
        <w:rPr/>
      </w:r>
    </w:p>
    <w:p>
      <w:pPr>
        <w:pStyle w:val="BodyTextIndent"/>
        <w:autoSpaceDE w:val="false"/>
        <w:rPr/>
      </w:pPr>
      <w:r>
        <w:rPr/>
        <w:t>As previously mentioned, this is another in a string of OATT amendments that MISO has made in the past few weeks that each propose various and separate changes to MISO’s OATT prior to the December 15, 2001 RTO startup date.  As EPMI has previously stated in response to other recent filings by MISO and the Alliance Companies,</w:t>
      </w:r>
      <w:r>
        <w:rPr>
          <w:rStyle w:val="FootnoteReference"/>
          <w:vertAlign w:val="superscript"/>
        </w:rPr>
        <w:footnoteReference w:id="3"/>
      </w:r>
      <w:r>
        <w:rPr/>
        <w:t xml:space="preserve"> the Commission should provide guidance on the essential aspects of a single RTO for the Midwest, including governance, stakeholder process, congestion management and other appropriate procedures and protocols.  EPMI has asked for a collaborative process, with Commission assistance, to affect that structure.  EPMI’s request is consistent with the Commission’s July 12, 2001 RTO orders, in which the Commission stated its policy to have only four RTOs in the U.S.  EPMI reiterates its request here, and urges the Commission to consider MISO's proposed OATT revisions in the context of a new proceeding to implement one Midwestern RTO.</w:t>
      </w:r>
    </w:p>
    <w:p>
      <w:pPr>
        <w:pStyle w:val="BodyTextIndent"/>
        <w:autoSpaceDE w:val="false"/>
        <w:rPr/>
      </w:pPr>
      <w:r>
        <w:rPr/>
        <w:t xml:space="preserve">If the Commission elects to consider this tariff filing outside of the context of a consolidated Midwest RTO proceeding, it should at least delay consideration of the proposed provisions until such time as a meaningful analysis can be performed on the OATT applicable to the RTO, particularly since this filing (as well as the other MISO filings) appears to include substantial revisions to the Commission's </w:t>
      </w:r>
      <w:r>
        <w:rPr>
          <w:i/>
          <w:iCs/>
        </w:rPr>
        <w:t>pro forma</w:t>
      </w:r>
      <w:r>
        <w:rPr/>
        <w:t xml:space="preserve"> tariff.  In addition to the six tariff filings it has recently made, MISO has forewarned industry participants that it plans to make at least thirteen additional filings, ten of which will involve tariff amendments, before December 15, 2001.</w:t>
      </w:r>
      <w:r>
        <w:rPr>
          <w:rStyle w:val="FootnoteCharacters"/>
          <w:rStyle w:val="FootnoteReference"/>
        </w:rPr>
        <w:footnoteReference w:id="4"/>
      </w:r>
      <w:r>
        <w:rPr/>
        <w:t xml:space="preserve">  The Commission should not rule on all of these separate tariff filings by MISO until it is satisfied that RTO formation in the Midwest has progressed sufficiently to allow meaningful consideration of an OATT applicable to the RTO.  Therefore, MISO’s proposal for a new penalty should be reviewed in the context of other OATT provisions and possible penalties that MISO may propose.</w:t>
      </w:r>
    </w:p>
    <w:p>
      <w:pPr>
        <w:pStyle w:val="BodyTextIndent"/>
        <w:autoSpaceDE w:val="false"/>
        <w:rPr/>
      </w:pPr>
      <w:r>
        <w:rPr/>
        <w:t xml:space="preserve">Additionally, EPMI requests that the Commission delay the deadline for filing of comments in this proceeding until MISO has made all of its proposed tariff filings.   This will significantly reduce the burden on the parties involved, and will help bring order to the process of creating a workable OATT for the Midwest. </w:t>
      </w:r>
    </w:p>
    <w:p>
      <w:pPr>
        <w:pStyle w:val="BodyTextIndent"/>
        <w:autoSpaceDE w:val="false"/>
        <w:rPr/>
      </w:pPr>
      <w:r>
        <w:rPr/>
        <w:t>The Commission recently approved MISO's tariff for purposes of operation of the Midwest transmission system</w:t>
      </w:r>
      <w:r>
        <w:rPr>
          <w:i/>
          <w:iCs/>
        </w:rPr>
        <w:t>.</w:t>
      </w:r>
      <w:r>
        <w:rPr>
          <w:rStyle w:val="FootnoteCharacters"/>
          <w:rStyle w:val="FootnoteReference"/>
        </w:rPr>
        <w:footnoteReference w:id="5"/>
      </w:r>
      <w:r>
        <w:rPr/>
        <w:t xml:space="preserve">  That version of the tariff, having been reviewed by the Commission from an RTO operation standpoint, should govern operation of the system until Midwestern RTO formation has progressed to a point at which market participants and the Commission can meaningfully evaluate additional tariff changes requested by MISO and Alliance.</w:t>
      </w:r>
    </w:p>
    <w:p>
      <w:pPr>
        <w:pStyle w:val="Heading4"/>
        <w:spacing w:lineRule="auto" w:line="240"/>
        <w:ind w:hanging="0" w:start="0"/>
        <w:rPr/>
      </w:pPr>
      <w:r>
        <w:rPr/>
        <w:t>B.  The Commission should reject this proposed penalty.</w:t>
      </w:r>
    </w:p>
    <w:p>
      <w:pPr>
        <w:pStyle w:val="Normal"/>
        <w:rPr/>
      </w:pPr>
      <w:r>
        <w:rPr/>
      </w:r>
    </w:p>
    <w:p>
      <w:pPr>
        <w:pStyle w:val="Normal"/>
        <w:spacing w:lineRule="auto" w:line="480"/>
        <w:jc w:val="both"/>
        <w:rPr/>
      </w:pPr>
      <w:r>
        <w:rPr/>
        <w:tab/>
        <w:t>Should the Commission deny EPMI's protest with regard to the above, EPMI requests rejection of the proposed penalty.  MISO provides no overall cost justification for the separately proposed $1,000 penalty.  It is well settled that penalties must be supported.</w:t>
      </w:r>
      <w:r>
        <w:rPr>
          <w:rStyle w:val="FootnoteCharacters"/>
          <w:rStyle w:val="FootnoteReference"/>
        </w:rPr>
        <w:footnoteReference w:id="6"/>
      </w:r>
      <w:r>
        <w:rPr/>
        <w:t xml:space="preserve">  MISO is attempting to carve out an existing service and charge a fee without providing support on how this affects its other rates.  Moreover, the MISO’s unsupported statement that this penalty is to discourage “frivolous” transmission requests is not based on any analysis that requests, allegedly frivolous or not, are creating a problem for MISO.  The intent of a new RTO should be to encourage transmission business, not discourage it.</w:t>
      </w:r>
    </w:p>
    <w:p>
      <w:pPr>
        <w:pStyle w:val="Normal"/>
        <w:spacing w:lineRule="auto" w:line="480"/>
        <w:jc w:val="both"/>
        <w:rPr/>
      </w:pPr>
      <w:r>
        <w:rPr/>
        <w:tab/>
        <w:t>The pro forma OATT provides a right to withdraw a request and the MISO OATT already contains a method for recovering costs associated with transmission requests, whether withdrawn or not.  Sections 17.3 and 19.2 provide that reasonable and verified costs can be collected to the extent that such costs are not already collected, including charges for system impact studies if needed.  Moreover, MISO’s argument that the $1,000 penalty is somehow justified because MISO will be more efficient than the current multiple utilities because less system impact studies will be performed, does not justify the cost.  MISO can collect study costs through the system impact study fees, if a study is truly necessary for a particular request.</w:t>
      </w:r>
    </w:p>
    <w:p>
      <w:pPr>
        <w:pStyle w:val="BodyTextStyle"/>
        <w:widowControl/>
        <w:spacing w:lineRule="auto" w:line="240"/>
        <w:ind w:hanging="0" w:end="0"/>
        <w:jc w:val="center"/>
        <w:rPr>
          <w:rFonts w:ascii="Times New Roman" w:hAnsi="Times New Roman" w:cs="Times New Roman"/>
          <w:b/>
          <w:bCs/>
        </w:rPr>
      </w:pPr>
      <w:r>
        <w:rPr>
          <w:rFonts w:cs="Times New Roman" w:ascii="Times New Roman" w:hAnsi="Times New Roman"/>
          <w:b/>
          <w:bCs/>
        </w:rPr>
        <w:t>VI.</w:t>
      </w:r>
    </w:p>
    <w:p>
      <w:pPr>
        <w:pStyle w:val="Heading2"/>
        <w:ind w:hanging="0" w:end="0"/>
        <w:rPr/>
      </w:pPr>
      <w:r>
        <w:rPr/>
        <w:t>CONCLUSION</w:t>
      </w:r>
    </w:p>
    <w:p>
      <w:pPr>
        <w:pStyle w:val="Normal"/>
        <w:spacing w:lineRule="atLeast" w:line="480"/>
        <w:ind w:firstLine="720" w:end="0"/>
        <w:jc w:val="both"/>
        <w:rPr/>
      </w:pPr>
      <w:r>
        <w:rPr/>
        <w:t xml:space="preserve">EPMI requests that the Commission grant this intervention, and initiate a proceeding for the formation of one Midwestern RTO, deferring consideration of MISO's requested tariff amendments until such a proceeding is under way.  Should the Commission decide to consider MISO's tariff amendments outside of a Midwestern RTO proceeding, EPMI requests the Commission to:  1) delay the due date for interventions and comments until MISO has made all of its proposed tariff filings, and 2) defer its consideration of such tariff filings until RTO formation in the Midwest to allow the participants to evaluate the full impact of MISO's proposed OATT changes in light of the formation of a Midwestern RTO. </w:t>
      </w:r>
    </w:p>
    <w:p>
      <w:pPr>
        <w:pStyle w:val="Normal"/>
        <w:spacing w:lineRule="atLeast" w:line="480"/>
        <w:jc w:val="both"/>
        <w:rPr/>
      </w:pPr>
      <w:r>
        <w:rPr/>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spacing w:lineRule="auto" w:line="240"/>
        <w:ind w:start="3600" w:end="0"/>
        <w:rPr/>
      </w:pPr>
      <w:r>
        <w:rPr/>
        <w:t>_______________________________</w:t>
        <w:tab/>
        <w:tab/>
        <w:t>Christi L. Nicolay</w:t>
      </w:r>
    </w:p>
    <w:p>
      <w:pPr>
        <w:pStyle w:val="BodyTextIndent"/>
        <w:spacing w:lineRule="auto" w:line="240"/>
        <w:ind w:start="3600" w:end="0"/>
        <w:rPr/>
      </w:pPr>
      <w:r>
        <w:rPr/>
        <w:t>Susan Scott Lindberg</w:t>
      </w:r>
    </w:p>
    <w:p>
      <w:pPr>
        <w:pStyle w:val="Normal"/>
        <w:ind w:firstLine="3600" w:start="720" w:end="0"/>
        <w:jc w:val="both"/>
        <w:rPr/>
      </w:pPr>
      <w:r>
        <w:rPr/>
        <w:t>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r>
    </w:p>
    <w:p>
      <w:pPr>
        <w:pStyle w:val="Normal"/>
        <w:jc w:val="both"/>
        <w:rPr/>
      </w:pPr>
      <w:r>
        <w:rPr/>
        <w:t>November 5, 2001</w:t>
      </w:r>
      <w:r>
        <w:br w:type="page"/>
      </w:r>
    </w:p>
    <w:p>
      <w:pPr>
        <w:pStyle w:val="Normal"/>
        <w:rPr/>
      </w:pPr>
      <w:r>
        <w:rPr/>
      </w:r>
    </w:p>
    <w:p>
      <w:pPr>
        <w:pStyle w:val="Heading1"/>
        <w:ind w:hanging="0" w:start="0"/>
        <w:rPr/>
      </w:pPr>
      <w:r>
        <w:rPr/>
        <w:t>CERTIFICATE OF SERVICE</w:t>
      </w:r>
    </w:p>
    <w:p>
      <w:pPr>
        <w:pStyle w:val="Normal"/>
        <w:spacing w:lineRule="atLeast" w:line="480"/>
        <w:rPr/>
      </w:pPr>
      <w:r>
        <w:rPr/>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tab/>
        <w:t>Dated at Houston, Texas this 5th day of November 2001.</w:t>
      </w:r>
    </w:p>
    <w:p>
      <w:pPr>
        <w:pStyle w:val="Normal"/>
        <w:spacing w:lineRule="atLeast" w:line="480"/>
        <w:rPr/>
      </w:pPr>
      <w:r>
        <w:rPr/>
      </w:r>
    </w:p>
    <w:p>
      <w:pPr>
        <w:pStyle w:val="Normal"/>
        <w:spacing w:lineRule="atLeast" w:line="480"/>
        <w:rPr/>
      </w:pPr>
      <w:r>
        <w:rPr/>
      </w:r>
    </w:p>
    <w:p>
      <w:pPr>
        <w:pStyle w:val="Normal"/>
        <w:rPr/>
      </w:pPr>
      <w:r>
        <w:rPr/>
        <w:tab/>
        <w:tab/>
        <w:tab/>
        <w:tab/>
        <w:tab/>
        <w:tab/>
        <w:t>________________________________</w:t>
      </w:r>
    </w:p>
    <w:p>
      <w:pPr>
        <w:pStyle w:val="Normal"/>
        <w:ind w:firstLine="720" w:start="720" w:end="0"/>
        <w:rPr/>
      </w:pPr>
      <w:r>
        <w:rPr/>
        <w:tab/>
        <w:tab/>
        <w:tab/>
        <w:tab/>
        <w:t>Christi L. Nicolay</w:t>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Heading5"/>
        <w:ind w:hanging="0" w:start="0"/>
        <w:rPr/>
      </w:pPr>
      <w:r>
        <w:rPr/>
        <w:t>ATTACHMENT A</w:t>
      </w:r>
    </w:p>
    <w:p>
      <w:pPr>
        <w:pStyle w:val="Heading"/>
        <w:rPr/>
      </w:pPr>
      <w:r>
        <w:rPr/>
        <w:t>MIDWEST ISO FILINGS MADE AT THE FERC</w:t>
      </w:r>
    </w:p>
    <w:p>
      <w:pPr>
        <w:pStyle w:val="Normal"/>
        <w:jc w:val="center"/>
        <w:rPr>
          <w:b/>
          <w:bCs/>
        </w:rPr>
      </w:pPr>
      <w:r>
        <w:rPr>
          <w:b/>
          <w:bCs/>
        </w:rPr>
        <w:t>SINCE 09/19/01</w:t>
      </w:r>
    </w:p>
    <w:p>
      <w:pPr>
        <w:pStyle w:val="Normal"/>
        <w:jc w:val="center"/>
        <w:rPr>
          <w:b/>
          <w:bCs/>
        </w:rPr>
      </w:pPr>
      <w:r>
        <w:rPr>
          <w:b/>
          <w:bCs/>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rPr>
          <w:b/>
          <w:bCs/>
          <w:u w:val="single"/>
        </w:rPr>
      </w:pPr>
      <w:r>
        <w:rPr>
          <w:b/>
          <w:bCs/>
          <w:u w:val="single"/>
        </w:rPr>
      </w:r>
    </w:p>
    <w:p>
      <w:pPr>
        <w:pStyle w:val="Normal"/>
        <w:tabs>
          <w:tab w:val="clear" w:pos="720"/>
          <w:tab w:val="left" w:pos="2160" w:leader="none"/>
        </w:tabs>
        <w:ind w:hanging="5040" w:start="5040" w:end="0"/>
        <w:rPr/>
      </w:pPr>
      <w:r>
        <w:rPr/>
        <w:t>10/16/01</w:t>
        <w:tab/>
        <w:t>ER02-___-001</w:t>
        <w:tab/>
      </w:r>
      <w:r>
        <w:rPr>
          <w:color w:val="000000"/>
          <w:sz w:val="20"/>
          <w:szCs w:val="20"/>
        </w:rPr>
        <w:t xml:space="preserve">Midwest ISO Revises its OATT to provide (i) unbundled RTO Services for Independent Transmission Companies that join the Midwest ISO under Appendix I of the Transmission Owners Agreement; (ii) an alternative administrative cost adder for Departing Companies and their affiliates to receive credits against monies owed for transmission services provided by the Midwest ISO to the Departing Companies and their affiliates pursuant to certain provisions approved in the Settlement Agreement in </w:t>
      </w:r>
      <w:r>
        <w:rPr>
          <w:i/>
          <w:iCs/>
          <w:color w:val="000000"/>
          <w:sz w:val="20"/>
          <w:szCs w:val="20"/>
        </w:rPr>
        <w:t>Illinois Power Company, et al</w:t>
      </w:r>
      <w:r>
        <w:rPr>
          <w:color w:val="000000"/>
          <w:sz w:val="20"/>
          <w:szCs w:val="20"/>
        </w:rPr>
        <w:t>.; and (iii) a list of customers eligible to receive the Midwest ISO’s alternative administrative cost adder under Schedule 10-A.</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10/15/01</w:t>
        <w:tab/>
        <w:t>ER01-3142-00_</w:t>
        <w:tab/>
      </w:r>
      <w:r>
        <w:rPr>
          <w:color w:val="000000"/>
          <w:sz w:val="20"/>
          <w:szCs w:val="20"/>
        </w:rPr>
        <w:t>Midwest ISO revises certain text pages of its OATT, including Schedule 4, Attachments C, D, J, K, M, N, and P.</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ER02-103-000</w:t>
        <w:tab/>
      </w:r>
      <w:r>
        <w:rPr>
          <w:color w:val="000000"/>
          <w:sz w:val="20"/>
          <w:szCs w:val="20"/>
        </w:rPr>
        <w:t>Midwest ISO files revision to Section 17.5 of the Midwest ISO OATT regarding the response to a completed Transmission Service Request Application.</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Alternative Dispute Resolution procedures pursuant to FERC directives in 84 FERC</w:t>
      </w:r>
    </w:p>
    <w:p>
      <w:pPr>
        <w:pStyle w:val="Normal"/>
        <w:tabs>
          <w:tab w:val="clear" w:pos="720"/>
          <w:tab w:val="left" w:pos="2160" w:leader="none"/>
        </w:tabs>
        <w:ind w:hanging="5040" w:start="5040" w:end="0"/>
        <w:rPr>
          <w:color w:val="000000"/>
          <w:sz w:val="20"/>
          <w:szCs w:val="20"/>
        </w:rPr>
      </w:pPr>
      <w:r>
        <w:rPr>
          <w:color w:val="000000"/>
          <w:sz w:val="20"/>
          <w:szCs w:val="20"/>
        </w:rPr>
        <w:tab/>
        <w:tab/>
        <w:t>¶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Market Monitoring Plan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Emergency and Operating procedures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10/11/01</w:t>
        <w:tab/>
        <w:t>ER01-3142-001</w:t>
        <w:tab/>
      </w:r>
      <w:r>
        <w:rPr>
          <w:color w:val="000000"/>
          <w:sz w:val="20"/>
          <w:szCs w:val="20"/>
        </w:rPr>
        <w:t>Midwest ISO supplements its revisions to the OATT to Reflect Corrected Clean Version of Attachment Q (Accepting NERC TLR Procedures).</w:t>
      </w:r>
      <w:r>
        <w:br w:type="page"/>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tabs>
          <w:tab w:val="clear" w:pos="720"/>
          <w:tab w:val="left" w:pos="2160" w:leader="none"/>
        </w:tabs>
        <w:ind w:hanging="5040" w:start="5040" w:end="0"/>
        <w:rPr>
          <w:b/>
          <w:bCs/>
          <w:u w:val="single"/>
        </w:rPr>
      </w:pPr>
      <w:r>
        <w:rPr>
          <w:b/>
          <w:bCs/>
          <w:u w:val="single"/>
        </w:rPr>
      </w:r>
    </w:p>
    <w:p>
      <w:pPr>
        <w:pStyle w:val="Normal"/>
        <w:tabs>
          <w:tab w:val="clear" w:pos="720"/>
          <w:tab w:val="left" w:pos="2160" w:leader="none"/>
        </w:tabs>
        <w:ind w:hanging="5040" w:start="5040" w:end="0"/>
        <w:rPr/>
      </w:pPr>
      <w:r>
        <w:rPr/>
        <w:t>10/10/01</w:t>
        <w:tab/>
        <w:t>ER02-78-000</w:t>
        <w:tab/>
      </w:r>
      <w:r>
        <w:rPr>
          <w:rFonts w:cs="Times" w:ascii="Times" w:hAnsi="Times"/>
          <w:color w:val="000000"/>
          <w:sz w:val="20"/>
          <w:szCs w:val="20"/>
        </w:rPr>
        <w:t>Joint Filing of ATCLLC and the Midwest ISO to revise the Midwest ISO OATT with respect to Schedules 7, 8, and 9 and Attachments O and M to effect a succession of ATCLLC’s rates to the Midwest ISO OATT to be applied to transmission service in the ATCLLC zone when the Midwest ISO begins operation.</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p>
    <w:p>
      <w:pPr>
        <w:pStyle w:val="Normal"/>
        <w:rPr/>
      </w:pPr>
      <w:r>
        <w:rPr>
          <w:rFonts w:cs="Times" w:ascii="Times" w:hAnsi="Times"/>
          <w:color w:val="000000"/>
          <w:szCs w:val="20"/>
        </w:rPr>
        <w:t>10/10/01</w:t>
        <w:tab/>
        <w:tab/>
      </w:r>
      <w:r>
        <w:rPr>
          <w:bCs/>
        </w:rPr>
        <w:t>RT01-87-003</w:t>
        <w:tab/>
      </w:r>
      <w:r>
        <w:rPr>
          <w:rFonts w:cs="Times" w:ascii="Times" w:hAnsi="Times"/>
          <w:color w:val="000000"/>
          <w:szCs w:val="20"/>
        </w:rPr>
        <w:tab/>
        <w:tab/>
      </w:r>
      <w:r>
        <w:rPr>
          <w:color w:val="000000"/>
          <w:sz w:val="20"/>
          <w:szCs w:val="20"/>
        </w:rPr>
        <w:t xml:space="preserve">Midwest ISO files RTO status report with </w:t>
      </w:r>
    </w:p>
    <w:p>
      <w:pPr>
        <w:pStyle w:val="Normal"/>
        <w:ind w:firstLine="720" w:end="0"/>
        <w:rPr/>
      </w:pPr>
      <w:r>
        <w:rPr>
          <w:color w:val="000000"/>
          <w:sz w:val="20"/>
          <w:szCs w:val="20"/>
        </w:rPr>
        <w:tab/>
        <w:tab/>
      </w:r>
      <w:r>
        <w:rPr>
          <w:b/>
        </w:rPr>
        <w:tab/>
        <w:tab/>
        <w:tab/>
        <w:tab/>
      </w:r>
      <w:r>
        <w:rPr>
          <w:color w:val="000000"/>
          <w:sz w:val="20"/>
          <w:szCs w:val="20"/>
        </w:rPr>
        <w:t>the FERC.</w:t>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pPr>
      <w:r>
        <w:rPr>
          <w:color w:val="000000"/>
          <w:szCs w:val="20"/>
        </w:rPr>
        <w:t>10/05/01</w:t>
        <w:tab/>
        <w:t>RM01-8-000</w:t>
        <w:tab/>
      </w:r>
      <w:r>
        <w:rPr>
          <w:color w:val="000000"/>
          <w:sz w:val="20"/>
          <w:szCs w:val="20"/>
        </w:rPr>
        <w:t>Midwest ISO files comments in NOPR re:  Electronic filing of Service Agreements supporting such proposal and offering to assist the FERC as a test case for the electronic filing of transmission service agreements.</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09/28/01</w:t>
        <w:tab/>
        <w:t>ER01-3142-000</w:t>
        <w:tab/>
      </w:r>
      <w:r>
        <w:rPr>
          <w:color w:val="000000"/>
          <w:sz w:val="20"/>
          <w:szCs w:val="20"/>
        </w:rPr>
        <w:t>Midwest ISO revises certain text pages of its OATT, including Schedules 1-3 and 5-9, Attachments A, B, F, G, J, and Q.</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09/21/01</w:t>
        <w:tab/>
        <w:t>RT01-88-006</w:t>
        <w:tab/>
      </w:r>
      <w:r>
        <w:rPr>
          <w:rFonts w:cs="Times" w:ascii="Times" w:hAnsi="Times"/>
          <w:color w:val="000000"/>
          <w:sz w:val="20"/>
          <w:szCs w:val="20"/>
        </w:rPr>
        <w:t>Midwest ISO Files its Motion to Intervene in the Alliance Companies’ proposed wholesale electric transmission rates for the Alliance RTO and the Alliance RTO Open Access Transmission Tariff.</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r>
        <w:br w:type="page"/>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FUTURE FERC FILINGS</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TO BE MADE PRIOR TO 12/15/01</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r>
    </w:p>
    <w:p>
      <w:pPr>
        <w:pStyle w:val="Normal"/>
        <w:numPr>
          <w:ilvl w:val="0"/>
          <w:numId w:val="3"/>
        </w:numPr>
        <w:tabs>
          <w:tab w:val="clear" w:pos="720"/>
          <w:tab w:val="left" w:pos="2160" w:leader="none"/>
        </w:tabs>
        <w:rPr/>
      </w:pPr>
      <w:r>
        <w:rPr/>
        <w:t>File Manitoba Hydro Coordination Agreement.</w:t>
      </w:r>
    </w:p>
    <w:p>
      <w:pPr>
        <w:pStyle w:val="Normal"/>
        <w:tabs>
          <w:tab w:val="clear" w:pos="720"/>
          <w:tab w:val="left" w:pos="2160" w:leader="none"/>
        </w:tabs>
        <w:ind w:start="360" w:end="0"/>
        <w:rPr/>
      </w:pPr>
      <w:r>
        <w:rPr/>
      </w:r>
    </w:p>
    <w:p>
      <w:pPr>
        <w:pStyle w:val="Normal"/>
        <w:numPr>
          <w:ilvl w:val="0"/>
          <w:numId w:val="3"/>
        </w:numPr>
        <w:tabs>
          <w:tab w:val="clear" w:pos="720"/>
          <w:tab w:val="left" w:pos="2160" w:leader="none"/>
        </w:tabs>
        <w:rPr/>
      </w:pPr>
      <w:r>
        <w:rPr/>
        <w:t>Update Index of Transmission Customers (Attachments E and H of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form of Operating Protocol or Agreement for Existing Generators.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operating agreements for existing generators, if applicable.</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or assist with filing notices of cancellation of Member OATT Schedules 1, 4, 7, 8, and 9.</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Compliance filing of procedures for network resources outside the Midwest ISO pursuant to Section 30.8 of the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PJM/ARTO/MISO joint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DTE/ITC incentive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general incentive rate filing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transmission service agreements.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RM01-11-000 on or before November 2, 2001 re:  Electronic Service of Documents.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RM01-10-000 on or before November 19, 2001 re:  Standards of Conduct for Transmission Providers.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Request for Clarification on Opinion No. 453 (issued October 11, 2001) by November 12, 2001.</w:t>
      </w:r>
    </w:p>
    <w:p>
      <w:pPr>
        <w:pStyle w:val="Normal"/>
        <w:tabs>
          <w:tab w:val="clear" w:pos="720"/>
          <w:tab w:val="left" w:pos="2160" w:leader="none"/>
        </w:tabs>
        <w:rPr/>
      </w:pPr>
      <w:r>
        <w:rPr/>
      </w:r>
    </w:p>
    <w:p>
      <w:pPr>
        <w:pStyle w:val="Normal"/>
        <w:tabs>
          <w:tab w:val="clear" w:pos="720"/>
          <w:tab w:val="left" w:pos="2160" w:leader="none"/>
        </w:tabs>
        <w:rPr/>
      </w:pPr>
      <w:r>
        <w:rPr/>
      </w:r>
    </w:p>
    <w:p>
      <w:pPr>
        <w:pStyle w:val="Heading1"/>
        <w:ind w:hanging="0" w:start="0"/>
        <w:rPr/>
      </w:pPr>
      <w:r>
        <w:rPr/>
        <w:t>OTHER REQUIREMENTS</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Post list of transferred facilities on OASIS by 12/15/01.</w:t>
      </w:r>
    </w:p>
    <w:p>
      <w:pPr>
        <w:pStyle w:val="Normal"/>
        <w:tabs>
          <w:tab w:val="clear" w:pos="720"/>
          <w:tab w:val="left" w:pos="2160" w:leader="none"/>
        </w:tabs>
        <w:ind w:start="360" w:end="0"/>
        <w:rPr>
          <w:b/>
          <w:bCs/>
        </w:rPr>
      </w:pPr>
      <w:r>
        <w:rPr>
          <w:b/>
          <w:bCs/>
        </w:rPr>
      </w:r>
    </w:p>
    <w:p>
      <w:pPr>
        <w:pStyle w:val="Normal"/>
        <w:numPr>
          <w:ilvl w:val="0"/>
          <w:numId w:val="2"/>
        </w:numPr>
        <w:tabs>
          <w:tab w:val="clear" w:pos="720"/>
          <w:tab w:val="left" w:pos="2160" w:leader="none"/>
        </w:tabs>
        <w:rPr>
          <w:b/>
          <w:bCs/>
        </w:rPr>
      </w:pPr>
      <w:r>
        <w:rPr/>
        <w:t>Post long-term congestion management protocol on website by 12/31/01.</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Draft pricing policy for parallel path resolution.</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Develop incentives for efficient management and administration pursuant to Article III, Section IV.E of Owners Agreement.</w:t>
      </w:r>
      <w:r>
        <w:br w:type="page"/>
      </w:r>
    </w:p>
    <w:p>
      <w:pPr>
        <w:pStyle w:val="Heading1"/>
        <w:ind w:hanging="0" w:start="0"/>
        <w:rPr/>
      </w:pPr>
      <w:r>
        <w:rPr/>
        <w:t>OTHER REQUIREMENTS CONT’D</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Assist with Owners Agreement changes to amend Appendix C to add Schedule F grandfathered agreements and MDU language.</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Assist with filing completed signatures pages of new Members to Owners Agreement.</w:t>
      </w:r>
    </w:p>
    <w:p>
      <w:pPr>
        <w:pStyle w:val="Normal"/>
        <w:jc w:val="center"/>
        <w:rPr>
          <w:b/>
          <w:bCs/>
          <w:sz w:val="28"/>
        </w:rPr>
      </w:pPr>
      <w:r>
        <w:rPr>
          <w:b/>
          <w:bCs/>
          <w:sz w:val="28"/>
        </w:rPr>
      </w:r>
    </w:p>
    <w:p>
      <w:pPr>
        <w:pStyle w:val="Normal"/>
        <w:rPr>
          <w:b/>
          <w:bCs/>
          <w:sz w:val="28"/>
        </w:rPr>
      </w:pPr>
      <w:r>
        <w:rPr>
          <w:b/>
          <w:bCs/>
          <w:sz w:val="28"/>
        </w:rPr>
      </w:r>
    </w:p>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Times">
    <w:altName w:val="Times New Roman"/>
    <w:charset w:val="00" w:characterSet="windows-1252"/>
    <w:family w:val="roman"/>
    <w:pitch w:val="variable"/>
  </w:font>
  <w:font w:name="Verdan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 October 19, 2001, EPMI filed a similar protest to MISO’s proposed OATT amendments in Docket No. ER01-3143-000.</w:t>
      </w:r>
    </w:p>
  </w:footnote>
  <w:footnote w:id="3">
    <w:p>
      <w:pPr>
        <w:pStyle w:val="FootnoteText"/>
        <w:rPr/>
      </w:pPr>
      <w:r>
        <w:rPr>
          <w:rStyle w:val="FootnoteCharacters"/>
        </w:rPr>
        <w:footnoteRef/>
      </w:r>
      <w:r>
        <w:rPr/>
        <w:t xml:space="preserve"> </w:t>
      </w:r>
      <w:r>
        <w:rPr>
          <w:i/>
        </w:rPr>
        <w:t xml:space="preserve">See Regional Transmission Organization, </w:t>
      </w:r>
      <w:r>
        <w:rPr>
          <w:iCs/>
        </w:rPr>
        <w:t>96 FERC ¶ 61,065 at 61,282, n.1 (2001);</w:t>
      </w:r>
      <w:r>
        <w:rPr>
          <w:i/>
        </w:rPr>
        <w:t xml:space="preserve"> Regional Transmission Organizations</w:t>
      </w:r>
      <w:r>
        <w:rPr>
          <w:iCs/>
        </w:rPr>
        <w:t>, 96 FERC ¶ 61,066 at 61,284, n.1 (2001).</w:t>
      </w:r>
    </w:p>
  </w:footnote>
  <w:footnote w:id="4">
    <w:p>
      <w:pPr>
        <w:pStyle w:val="FootnoteText"/>
        <w:rPr/>
      </w:pPr>
      <w:r>
        <w:rPr>
          <w:rStyle w:val="FootnoteCharacters"/>
        </w:rPr>
        <w:footnoteRef/>
      </w:r>
      <w:r>
        <w:rPr/>
        <w:t xml:space="preserve"> </w:t>
      </w:r>
      <w:r>
        <w:rPr/>
        <w:t>In a handout provided to attendees at the October 17, 2001 MISO Advisory Committee meeting, MISO listed the filings it plans to make prior to December 15, 2001; the handout is attached as Attachment A.</w:t>
      </w:r>
    </w:p>
  </w:footnote>
  <w:footnote w:id="5">
    <w:p>
      <w:pPr>
        <w:pStyle w:val="FootnoteText"/>
        <w:rPr/>
      </w:pPr>
      <w:r>
        <w:rPr>
          <w:rStyle w:val="FootnoteCharacters"/>
        </w:rPr>
        <w:footnoteRef/>
      </w:r>
      <w:r>
        <w:rPr/>
        <w:t xml:space="preserve"> </w:t>
      </w:r>
      <w:r>
        <w:rPr>
          <w:i/>
          <w:iCs/>
        </w:rPr>
        <w:t>Midwest Independent Transmission System Operator, Inc.,</w:t>
      </w:r>
      <w:r>
        <w:rPr/>
        <w:t xml:space="preserve"> </w:t>
      </w:r>
      <w:r>
        <w:rPr>
          <w:i/>
          <w:iCs/>
        </w:rPr>
        <w:t>et al.</w:t>
      </w:r>
      <w:r>
        <w:rPr>
          <w:rFonts w:cs="Verdana" w:ascii="Verdana" w:hAnsi="Verdana"/>
        </w:rPr>
        <w:t xml:space="preserve"> </w:t>
      </w:r>
      <w:r>
        <w:rPr/>
        <w:t>97 FERC ¶ 61,033 (2001).</w:t>
      </w:r>
    </w:p>
  </w:footnote>
  <w:footnote w:id="6">
    <w:p>
      <w:pPr>
        <w:pStyle w:val="FootnoteText"/>
        <w:rPr/>
      </w:pPr>
      <w:r>
        <w:rPr>
          <w:rStyle w:val="FootnoteCharacters"/>
        </w:rPr>
        <w:footnoteRef/>
      </w:r>
      <w:r>
        <w:rPr/>
        <w:t xml:space="preserve"> </w:t>
      </w:r>
      <w:r>
        <w:rPr>
          <w:i/>
          <w:iCs/>
        </w:rPr>
        <w:t>See e.g. Sierra Pacific Power Company,</w:t>
      </w:r>
      <w:r>
        <w:rPr/>
        <w:t xml:space="preserve">92 FERC ¶ 61,179 (2000); </w:t>
      </w:r>
      <w:r>
        <w:rPr>
          <w:i/>
          <w:iCs/>
        </w:rPr>
        <w:t>Entergy Services, Inc.,</w:t>
      </w:r>
      <w:r>
        <w:rPr/>
        <w:t xml:space="preserve"> 88 FERC ¶ 61,098 (1999).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lineRule="atLeast" w:line="480"/>
      <w:jc w:val="both"/>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Indent">
    <w:name w:val="Body Text Indent"/>
    <w:basedOn w:val="Normal"/>
    <w:pPr>
      <w:spacing w:lineRule="auto" w:line="480"/>
      <w:ind w:firstLine="720" w:start="0" w:end="0"/>
      <w:jc w:val="both"/>
    </w:pPr>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BodyTextIndent2">
    <w:name w:val="Body Text Indent 2"/>
    <w:basedOn w:val="Normal"/>
    <w:qFormat/>
    <w:pPr>
      <w:autoSpaceDE w:val="false"/>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kerry.stroup@enron.com"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2001-11-07T12:13:00Z</dcterms:created>
  <dc:creator>Susan Lindberg</dc:creator>
  <dc:description/>
  <dc:language>en-CA</dc:language>
  <cp:lastModifiedBy>cnicola</cp:lastModifiedBy>
  <cp:lastPrinted>2001-11-05T11:23:00Z</cp:lastPrinted>
  <dcterms:modified xsi:type="dcterms:W3CDTF">2001-11-07T12:13:00Z</dcterms:modified>
  <cp:revision>2</cp:revision>
  <dc:subject/>
  <dc:title>UNITED STATES OF AMERICA</dc:title>
</cp:coreProperties>
</file>