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ENRON FEDERAL CREDIT UNION</w:t>
      </w:r>
    </w:p>
    <w:p>
      <w:pPr>
        <w:pStyle w:val="Normal"/>
        <w:widowControl/>
        <w:jc w:val="center"/>
        <w:rPr>
          <w:b/>
          <w:sz w:val="24"/>
        </w:rPr>
      </w:pPr>
      <w:r>
        <w:rPr>
          <w:b/>
          <w:sz w:val="24"/>
        </w:rPr>
        <w:t xml:space="preserve">MINUTES OF A  REGULAR MEETING </w:t>
      </w:r>
    </w:p>
    <w:p>
      <w:pPr>
        <w:pStyle w:val="Normal"/>
        <w:widowControl/>
        <w:jc w:val="center"/>
        <w:rPr>
          <w:b/>
          <w:sz w:val="24"/>
        </w:rPr>
      </w:pPr>
      <w:r>
        <w:rPr>
          <w:b/>
          <w:sz w:val="24"/>
        </w:rPr>
        <w:t>August 21, 2000</w:t>
      </w:r>
    </w:p>
    <w:p>
      <w:pPr>
        <w:pStyle w:val="Normal"/>
        <w:widowControl/>
        <w:jc w:val="center"/>
        <w:rPr>
          <w:b/>
          <w:sz w:val="24"/>
        </w:rPr>
      </w:pPr>
      <w:r>
        <w:rPr>
          <w:b/>
          <w:sz w:val="24"/>
        </w:rPr>
      </w:r>
    </w:p>
    <w:p>
      <w:pPr>
        <w:pStyle w:val="Normal"/>
        <w:widowControl/>
        <w:jc w:val="center"/>
        <w:rPr>
          <w:b/>
          <w:sz w:val="24"/>
        </w:rPr>
      </w:pPr>
      <w:r>
        <w:rPr>
          <w:b/>
          <w:sz w:val="24"/>
        </w:rPr>
      </w:r>
    </w:p>
    <w:p>
      <w:pPr>
        <w:pStyle w:val="BodyText"/>
        <w:rPr/>
      </w:pPr>
      <w:r>
        <w:rPr/>
        <w:t>Pursuant to proper notice, a regular meeting of the Board of Directors of the Enron Federal Credit Union was held in Conference Room 49C2 of the Enron Building, 1400 Smith Street, Houston, Texas, August 21, 2000.</w:t>
      </w:r>
    </w:p>
    <w:p>
      <w:pPr>
        <w:pStyle w:val="Normal"/>
        <w:widowControl/>
        <w:jc w:val="both"/>
        <w:rPr>
          <w:sz w:val="24"/>
        </w:rPr>
      </w:pPr>
      <w:r>
        <w:rPr>
          <w:sz w:val="24"/>
        </w:rPr>
      </w:r>
    </w:p>
    <w:p>
      <w:pPr>
        <w:pStyle w:val="BodyText"/>
        <w:rPr/>
      </w:pPr>
      <w:r>
        <w:rPr/>
        <w:t>Directors present were, Shelley Corman, Dan Fancler, Steve Havemann, Robert Jones, Phyllis Kennedy, Dianne Langeland, Mike Sullivan, and Kim Watson.</w:t>
      </w:r>
      <w:r>
        <w:rPr>
          <w:i/>
        </w:rPr>
        <w:t xml:space="preserve"> </w:t>
      </w:r>
    </w:p>
    <w:p>
      <w:pPr>
        <w:pStyle w:val="BodyText"/>
        <w:rPr>
          <w:i/>
          <w:i/>
        </w:rPr>
      </w:pPr>
      <w:r>
        <w:rPr>
          <w:i/>
        </w:rPr>
      </w:r>
    </w:p>
    <w:p>
      <w:pPr>
        <w:pStyle w:val="BodyText"/>
        <w:rPr/>
      </w:pPr>
      <w:r>
        <w:rPr/>
        <w:t xml:space="preserve">Officers and Committee Members of the Enron Federal Credit Union present were Jack McAdoo – President, Gary Hugo - Vice President of Lending, Debbie Weir - Vice President of Operations, Stephanie Olszewski - Marketing Director, Carolyn Henry - Supervisor Committee.  </w:t>
      </w:r>
    </w:p>
    <w:p>
      <w:pPr>
        <w:pStyle w:val="Normal"/>
        <w:widowControl/>
        <w:jc w:val="both"/>
        <w:rPr>
          <w:i/>
          <w:i/>
          <w:sz w:val="24"/>
        </w:rPr>
      </w:pPr>
      <w:r>
        <w:rPr>
          <w:sz w:val="24"/>
        </w:rPr>
        <w:t xml:space="preserve"> </w:t>
      </w:r>
    </w:p>
    <w:p>
      <w:pPr>
        <w:pStyle w:val="BodyText"/>
        <w:rPr>
          <w:i/>
          <w:i/>
        </w:rPr>
      </w:pPr>
      <w:r>
        <w:rPr>
          <w:i/>
        </w:rPr>
        <w:t>(Bill Donovan and  Bruce Stram were absent.)</w:t>
      </w:r>
    </w:p>
    <w:p>
      <w:pPr>
        <w:pStyle w:val="Normal"/>
        <w:widowControl/>
        <w:jc w:val="both"/>
        <w:rPr>
          <w:i/>
          <w:i/>
          <w:sz w:val="24"/>
        </w:rPr>
      </w:pPr>
      <w:r>
        <w:rPr>
          <w:i/>
          <w:sz w:val="24"/>
        </w:rPr>
      </w:r>
    </w:p>
    <w:p>
      <w:pPr>
        <w:pStyle w:val="Normal"/>
        <w:widowControl/>
        <w:jc w:val="both"/>
        <w:rPr>
          <w:b/>
          <w:sz w:val="24"/>
          <w:u w:val="single"/>
        </w:rPr>
      </w:pPr>
      <w:r>
        <w:rPr>
          <w:b/>
          <w:sz w:val="24"/>
          <w:u w:val="single"/>
        </w:rPr>
        <w:t>CALL TO ORDER:</w:t>
      </w:r>
    </w:p>
    <w:p>
      <w:pPr>
        <w:pStyle w:val="Normal"/>
        <w:widowControl/>
        <w:jc w:val="both"/>
        <w:rPr>
          <w:b/>
          <w:sz w:val="24"/>
          <w:u w:val="single"/>
        </w:rPr>
      </w:pPr>
      <w:r>
        <w:rPr>
          <w:b/>
          <w:sz w:val="24"/>
          <w:u w:val="single"/>
        </w:rPr>
      </w:r>
    </w:p>
    <w:p>
      <w:pPr>
        <w:pStyle w:val="BodyText"/>
        <w:rPr>
          <w:i/>
          <w:i/>
        </w:rPr>
      </w:pPr>
      <w:r>
        <w:rPr/>
        <w:t>Co-Chairperson, Robert Jones called the meeting to order at 5:13 p.m.</w:t>
      </w:r>
    </w:p>
    <w:p>
      <w:pPr>
        <w:pStyle w:val="Normal"/>
        <w:widowControl/>
        <w:jc w:val="both"/>
        <w:rPr>
          <w:i/>
          <w:i/>
          <w:sz w:val="24"/>
        </w:rPr>
      </w:pPr>
      <w:r>
        <w:rPr>
          <w:i/>
          <w:sz w:val="24"/>
        </w:rPr>
      </w:r>
    </w:p>
    <w:p>
      <w:pPr>
        <w:pStyle w:val="Normal"/>
        <w:widowControl/>
        <w:jc w:val="both"/>
        <w:rPr>
          <w:sz w:val="24"/>
        </w:rPr>
      </w:pPr>
      <w:r>
        <w:rPr>
          <w:sz w:val="24"/>
        </w:rPr>
      </w:r>
    </w:p>
    <w:p>
      <w:pPr>
        <w:pStyle w:val="Normal"/>
        <w:widowControl/>
        <w:jc w:val="both"/>
        <w:rPr>
          <w:b/>
          <w:sz w:val="24"/>
          <w:u w:val="single"/>
        </w:rPr>
      </w:pPr>
      <w:r>
        <w:rPr>
          <w:b/>
          <w:sz w:val="24"/>
          <w:u w:val="single"/>
        </w:rPr>
        <w:t>APPROVAL OF BOARD MINUTES</w:t>
      </w:r>
    </w:p>
    <w:p>
      <w:pPr>
        <w:pStyle w:val="Normal"/>
        <w:widowControl/>
        <w:jc w:val="both"/>
        <w:rPr>
          <w:b/>
          <w:sz w:val="24"/>
          <w:u w:val="single"/>
        </w:rPr>
      </w:pPr>
      <w:r>
        <w:rPr>
          <w:b/>
          <w:sz w:val="24"/>
          <w:u w:val="single"/>
        </w:rPr>
      </w:r>
    </w:p>
    <w:p>
      <w:pPr>
        <w:pStyle w:val="Normal"/>
        <w:widowControl/>
        <w:jc w:val="both"/>
        <w:rPr>
          <w:sz w:val="24"/>
        </w:rPr>
      </w:pPr>
      <w:r>
        <w:rPr>
          <w:sz w:val="24"/>
        </w:rPr>
        <w:t>A motion was made by Mr. Sullivan to approve the minutes of the regular meeting of the Board of Directors held on June 19, 2000.  The motion carried to approve the minutes.</w:t>
      </w:r>
    </w:p>
    <w:p>
      <w:pPr>
        <w:pStyle w:val="Normal"/>
        <w:widowControl/>
        <w:jc w:val="both"/>
        <w:rPr>
          <w:sz w:val="24"/>
        </w:rPr>
      </w:pPr>
      <w:r>
        <w:rPr>
          <w:sz w:val="24"/>
        </w:rPr>
      </w:r>
    </w:p>
    <w:p>
      <w:pPr>
        <w:pStyle w:val="Normal"/>
        <w:widowControl/>
        <w:jc w:val="both"/>
        <w:rPr>
          <w:sz w:val="24"/>
        </w:rPr>
      </w:pPr>
      <w:r>
        <w:rPr>
          <w:sz w:val="24"/>
        </w:rPr>
        <w:t>Discussion on the July 17, 2000 was tabled until the September board meeting.</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b/>
          <w:sz w:val="24"/>
          <w:u w:val="single"/>
        </w:rPr>
      </w:pPr>
      <w:r>
        <w:rPr>
          <w:b/>
          <w:sz w:val="24"/>
          <w:u w:val="single"/>
        </w:rPr>
        <w:t>NEW BUSINESS</w:t>
      </w:r>
    </w:p>
    <w:p>
      <w:pPr>
        <w:pStyle w:val="Normal"/>
        <w:widowControl/>
        <w:jc w:val="both"/>
        <w:rPr>
          <w:b/>
          <w:sz w:val="24"/>
          <w:u w:val="single"/>
        </w:rPr>
      </w:pPr>
      <w:r>
        <w:rPr>
          <w:b/>
          <w:sz w:val="24"/>
          <w:u w:val="single"/>
        </w:rPr>
      </w:r>
    </w:p>
    <w:p>
      <w:pPr>
        <w:pStyle w:val="Heading3"/>
        <w:ind w:hanging="0" w:start="0"/>
        <w:rPr>
          <w:b/>
          <w:u w:val="single"/>
        </w:rPr>
      </w:pPr>
      <w:r>
        <w:rPr>
          <w:b/>
          <w:u w:val="single"/>
        </w:rPr>
        <w:t>Compliance Consulting Service</w:t>
      </w:r>
    </w:p>
    <w:p>
      <w:pPr>
        <w:pStyle w:val="Normal"/>
        <w:rPr>
          <w:b/>
          <w:sz w:val="24"/>
          <w:u w:val="single"/>
        </w:rPr>
      </w:pPr>
      <w:r>
        <w:rPr>
          <w:b/>
          <w:sz w:val="24"/>
          <w:u w:val="single"/>
        </w:rPr>
      </w:r>
    </w:p>
    <w:p>
      <w:pPr>
        <w:pStyle w:val="Normal"/>
        <w:rPr>
          <w:sz w:val="24"/>
        </w:rPr>
      </w:pPr>
      <w:r>
        <w:rPr>
          <w:sz w:val="24"/>
        </w:rPr>
        <w:t>Gary Hugo discussed the contracting of RSM McGladrey to provide regulatory compliance consulting services.  Dan Fancler made a motion to ratify the agreement for RSM McGladrey to provide regulatory compliance services.  The motion carried by board vote.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widowControl/>
        <w:jc w:val="both"/>
        <w:rPr>
          <w:b/>
          <w:sz w:val="24"/>
          <w:u w:val="single"/>
        </w:rPr>
      </w:pPr>
      <w:r>
        <w:rPr>
          <w:b/>
          <w:sz w:val="24"/>
          <w:u w:val="single"/>
        </w:rPr>
        <w:t>OLD BUSINESS</w:t>
      </w:r>
    </w:p>
    <w:p>
      <w:pPr>
        <w:pStyle w:val="Normal"/>
        <w:rPr>
          <w:b/>
          <w:sz w:val="24"/>
          <w:u w:val="single"/>
        </w:rPr>
      </w:pPr>
      <w:r>
        <w:rPr>
          <w:b/>
          <w:sz w:val="24"/>
          <w:u w:val="single"/>
        </w:rPr>
      </w:r>
    </w:p>
    <w:p>
      <w:pPr>
        <w:pStyle w:val="Heading6"/>
        <w:ind w:hanging="0" w:start="0"/>
        <w:rPr>
          <w:u w:val="single"/>
        </w:rPr>
      </w:pPr>
      <w:r>
        <w:rPr>
          <w:u w:val="single"/>
        </w:rPr>
        <w:t>Key Employee Retention Plan</w:t>
      </w:r>
    </w:p>
    <w:p>
      <w:pPr>
        <w:pStyle w:val="Normal"/>
        <w:rPr>
          <w:u w:val="single"/>
        </w:rPr>
      </w:pPr>
      <w:r>
        <w:rPr>
          <w:u w:val="single"/>
        </w:rPr>
      </w:r>
    </w:p>
    <w:p>
      <w:pPr>
        <w:pStyle w:val="BodyText2"/>
        <w:widowControl w:val="false"/>
        <w:rPr/>
      </w:pPr>
      <w:r>
        <w:rPr/>
        <w:t xml:space="preserve">Credit Unions employees were asked to leave the meeting.  Robert Jones discussed the retention plan.  Kim Watson made a motion to approve the expense of a special grant of Enron stock options as detailed by Robert Jones to Gary Hugo, Debbie Weir &amp; Stephanie Olszenski.  The motion carried by board vote.  </w:t>
      </w:r>
    </w:p>
    <w:p>
      <w:pPr>
        <w:pStyle w:val="Normal"/>
        <w:rPr/>
      </w:pPr>
      <w:r>
        <w:rPr/>
      </w:r>
    </w:p>
    <w:p>
      <w:pPr>
        <w:pStyle w:val="BodyText2"/>
        <w:widowControl w:val="false"/>
        <w:rPr/>
      </w:pPr>
      <w:r>
        <w:rPr/>
        <w:t>Credit Union employees returned to the meeting.</w:t>
      </w:r>
    </w:p>
    <w:p>
      <w:pPr>
        <w:pStyle w:val="BodyText2"/>
        <w:widowControl w:val="false"/>
        <w:rPr/>
      </w:pPr>
      <w:r>
        <w:rPr/>
      </w:r>
    </w:p>
    <w:p>
      <w:pPr>
        <w:pStyle w:val="Normal"/>
        <w:rPr>
          <w:i/>
          <w:i/>
          <w:sz w:val="24"/>
        </w:rPr>
      </w:pPr>
      <w:r>
        <w:rPr>
          <w:i/>
          <w:sz w:val="24"/>
        </w:rPr>
        <w:t>(Kim Watson left the meeting at 5:35 pm)</w:t>
      </w:r>
    </w:p>
    <w:p>
      <w:pPr>
        <w:pStyle w:val="Normal"/>
        <w:rPr>
          <w:i/>
          <w:i/>
          <w:sz w:val="24"/>
        </w:rPr>
      </w:pPr>
      <w:r>
        <w:rPr>
          <w:i/>
          <w:sz w:val="24"/>
        </w:rPr>
      </w:r>
    </w:p>
    <w:p>
      <w:pPr>
        <w:pStyle w:val="Normal"/>
        <w:rPr>
          <w:sz w:val="24"/>
        </w:rPr>
      </w:pPr>
      <w:r>
        <w:rPr>
          <w:sz w:val="24"/>
        </w:rPr>
      </w:r>
    </w:p>
    <w:p>
      <w:pPr>
        <w:pStyle w:val="Normal"/>
        <w:widowControl/>
        <w:jc w:val="both"/>
        <w:rPr>
          <w:b/>
          <w:sz w:val="24"/>
          <w:u w:val="single"/>
        </w:rPr>
      </w:pPr>
      <w:r>
        <w:rPr>
          <w:b/>
          <w:sz w:val="24"/>
          <w:u w:val="single"/>
        </w:rPr>
        <w:t>TREASURER’S REPORT</w:t>
      </w:r>
    </w:p>
    <w:p>
      <w:pPr>
        <w:pStyle w:val="Normal"/>
        <w:widowControl/>
        <w:jc w:val="both"/>
        <w:rPr>
          <w:b/>
          <w:sz w:val="24"/>
          <w:u w:val="single"/>
        </w:rPr>
      </w:pPr>
      <w:r>
        <w:rPr>
          <w:b/>
          <w:sz w:val="24"/>
          <w:u w:val="single"/>
        </w:rPr>
      </w:r>
    </w:p>
    <w:p>
      <w:pPr>
        <w:pStyle w:val="Normal"/>
        <w:widowControl/>
        <w:jc w:val="both"/>
        <w:rPr>
          <w:sz w:val="24"/>
        </w:rPr>
      </w:pPr>
      <w:r>
        <w:rPr>
          <w:sz w:val="24"/>
        </w:rPr>
      </w:r>
    </w:p>
    <w:p>
      <w:pPr>
        <w:pStyle w:val="BodyText2"/>
        <w:rPr/>
      </w:pPr>
      <w:r>
        <w:rPr/>
        <w:t xml:space="preserve">Ms. Kennedy presented the Treasurer’s Report (copy attached).  Total assets increased by $102,442 to a total of $62.5 million.  Investments decreased by $755,989.  Loans to members up $853,780.  Capital to asset ratio is 7.29%, compared to the December, 1999 ratio of 7.16%.  Delinquent loans to total loans ration is .42%. </w:t>
      </w:r>
    </w:p>
    <w:p>
      <w:pPr>
        <w:pStyle w:val="Normal"/>
        <w:widowControl/>
        <w:rPr>
          <w:sz w:val="24"/>
        </w:rPr>
      </w:pPr>
      <w:r>
        <w:rPr>
          <w:sz w:val="24"/>
        </w:rPr>
      </w:r>
    </w:p>
    <w:p>
      <w:pPr>
        <w:pStyle w:val="Normal"/>
        <w:widowControl/>
        <w:rPr>
          <w:sz w:val="24"/>
        </w:rPr>
      </w:pPr>
      <w:r>
        <w:rPr>
          <w:sz w:val="24"/>
        </w:rPr>
        <w:t>A Motion to approve the Treasurer’s Report was made by Mr. Sullivan.  Motion was carried by Board vote.</w:t>
      </w:r>
    </w:p>
    <w:p>
      <w:pPr>
        <w:pStyle w:val="Normal"/>
        <w:widowControl/>
        <w:rPr>
          <w:b/>
          <w:sz w:val="24"/>
          <w:u w:val="single"/>
        </w:rPr>
      </w:pPr>
      <w:r>
        <w:rPr>
          <w:b/>
          <w:sz w:val="24"/>
          <w:u w:val="single"/>
        </w:rPr>
      </w:r>
    </w:p>
    <w:p>
      <w:pPr>
        <w:pStyle w:val="Normal"/>
        <w:widowControl/>
        <w:rPr>
          <w:b/>
          <w:sz w:val="24"/>
          <w:u w:val="single"/>
        </w:rPr>
      </w:pPr>
      <w:r>
        <w:rPr>
          <w:b/>
          <w:sz w:val="24"/>
          <w:u w:val="single"/>
        </w:rPr>
      </w:r>
    </w:p>
    <w:p>
      <w:pPr>
        <w:pStyle w:val="Normal"/>
        <w:widowControl/>
        <w:rPr>
          <w:b/>
          <w:sz w:val="24"/>
          <w:u w:val="single"/>
        </w:rPr>
      </w:pPr>
      <w:r>
        <w:rPr>
          <w:b/>
          <w:sz w:val="24"/>
          <w:u w:val="single"/>
        </w:rPr>
      </w:r>
    </w:p>
    <w:p>
      <w:pPr>
        <w:pStyle w:val="Normal"/>
        <w:widowControl/>
        <w:rPr>
          <w:b/>
          <w:sz w:val="24"/>
          <w:u w:val="single"/>
        </w:rPr>
      </w:pPr>
      <w:r>
        <w:rPr>
          <w:b/>
          <w:sz w:val="24"/>
          <w:u w:val="single"/>
        </w:rPr>
        <w:t>Committee Reports</w:t>
      </w:r>
    </w:p>
    <w:p>
      <w:pPr>
        <w:pStyle w:val="Normal"/>
        <w:widowControl/>
        <w:rPr>
          <w:b/>
          <w:sz w:val="24"/>
          <w:u w:val="single"/>
        </w:rPr>
      </w:pPr>
      <w:r>
        <w:rPr>
          <w:b/>
          <w:sz w:val="24"/>
          <w:u w:val="single"/>
        </w:rPr>
      </w:r>
    </w:p>
    <w:p>
      <w:pPr>
        <w:pStyle w:val="BodyText2"/>
        <w:rPr/>
      </w:pPr>
      <w:r>
        <w:rPr/>
        <w:t xml:space="preserve">Ms. Langeland presented the Membership Committee Report, as attached to these minutes.  Membership at the end of June 2000 stands at 10,848 members. </w:t>
      </w:r>
    </w:p>
    <w:p>
      <w:pPr>
        <w:pStyle w:val="Normal"/>
        <w:widowControl/>
        <w:rPr>
          <w:sz w:val="24"/>
        </w:rPr>
      </w:pPr>
      <w:r>
        <w:rPr>
          <w:sz w:val="24"/>
        </w:rPr>
      </w:r>
    </w:p>
    <w:p>
      <w:pPr>
        <w:pStyle w:val="Normal"/>
        <w:widowControl/>
        <w:rPr>
          <w:sz w:val="24"/>
        </w:rPr>
      </w:pPr>
      <w:r>
        <w:rPr>
          <w:sz w:val="24"/>
        </w:rPr>
      </w:r>
    </w:p>
    <w:p>
      <w:pPr>
        <w:pStyle w:val="BodyText2"/>
        <w:rPr/>
      </w:pPr>
      <w:r>
        <w:rPr/>
        <w:t xml:space="preserve">Carolyn Henry presented the Supervisory Committee Report, as attached to these minutes. </w:t>
      </w:r>
    </w:p>
    <w:p>
      <w:pPr>
        <w:pStyle w:val="BodyText2"/>
        <w:rPr/>
      </w:pPr>
      <w:r>
        <w:rPr/>
      </w:r>
    </w:p>
    <w:p>
      <w:pPr>
        <w:pStyle w:val="Normal"/>
        <w:widowControl/>
        <w:rPr>
          <w:sz w:val="24"/>
        </w:rPr>
      </w:pPr>
      <w:r>
        <w:rPr>
          <w:sz w:val="24"/>
        </w:rPr>
      </w:r>
    </w:p>
    <w:p>
      <w:pPr>
        <w:pStyle w:val="Normal"/>
        <w:widowControl/>
        <w:rPr>
          <w:sz w:val="24"/>
        </w:rPr>
      </w:pPr>
      <w:r>
        <w:rPr>
          <w:sz w:val="24"/>
        </w:rPr>
        <w:t>The Technology Committee did not meet in July.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Jack McAdoo presented the Asset/Liability Committee Report, and it is attached to these minutes. All ratios are within guidelines.  Capital to Asset ratio is above the minimum threshold.</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xml:space="preserve">Robert Jones reported that the Compensation Committee has completed the mid-year reviews. </w:t>
      </w:r>
    </w:p>
    <w:p>
      <w:pPr>
        <w:pStyle w:val="Normal"/>
        <w:widowControl/>
        <w:rPr>
          <w:sz w:val="24"/>
        </w:rPr>
      </w:pPr>
      <w:r>
        <w:rPr>
          <w:sz w:val="24"/>
        </w:rPr>
      </w:r>
    </w:p>
    <w:p>
      <w:pPr>
        <w:pStyle w:val="Normal"/>
        <w:widowControl/>
        <w:rPr>
          <w:sz w:val="24"/>
        </w:rPr>
      </w:pPr>
      <w:r>
        <w:rPr>
          <w:sz w:val="24"/>
        </w:rPr>
        <w:t xml:space="preserve">The Director Search Committee had no report. </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Mr. McAdoo reporting for the Strategic Planning Committee discussed going forward with plans for space in the new building.  Steve Havemann made a motion to approve that Jack McAdoo continue to move forward to secure space in the new building.  The motion carried by board vote.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After discussion, Mr. Havemann made a motion to approve the Committee Reports.  Motion was carried by board vote.</w:t>
      </w:r>
    </w:p>
    <w:p>
      <w:pPr>
        <w:pStyle w:val="Normal"/>
        <w:widowControl/>
        <w:rPr>
          <w:sz w:val="24"/>
        </w:rPr>
      </w:pPr>
      <w:r>
        <w:rPr>
          <w:sz w:val="24"/>
        </w:rPr>
      </w:r>
    </w:p>
    <w:p>
      <w:pPr>
        <w:pStyle w:val="Normal"/>
        <w:widowControl/>
        <w:rPr>
          <w:b/>
          <w:sz w:val="24"/>
          <w:u w:val="single"/>
        </w:rPr>
      </w:pPr>
      <w:r>
        <w:rPr>
          <w:b/>
          <w:sz w:val="24"/>
          <w:u w:val="single"/>
        </w:rPr>
        <w:t>PRESIDENT’S REPORT</w:t>
        <w:br/>
      </w:r>
    </w:p>
    <w:p>
      <w:pPr>
        <w:pStyle w:val="Normal"/>
        <w:widowControl/>
        <w:rPr>
          <w:b/>
          <w:sz w:val="24"/>
          <w:u w:val="single"/>
        </w:rPr>
      </w:pPr>
      <w:r>
        <w:rPr>
          <w:b/>
          <w:sz w:val="24"/>
          <w:u w:val="single"/>
        </w:rPr>
      </w:r>
    </w:p>
    <w:p>
      <w:pPr>
        <w:pStyle w:val="Normal"/>
        <w:widowControl/>
        <w:rPr>
          <w:b/>
          <w:sz w:val="24"/>
          <w:u w:val="single"/>
        </w:rPr>
      </w:pPr>
      <w:r>
        <w:rPr>
          <w:b/>
          <w:sz w:val="24"/>
          <w:u w:val="single"/>
        </w:rPr>
        <w:t>Loans/Collections</w:t>
      </w:r>
    </w:p>
    <w:p>
      <w:pPr>
        <w:pStyle w:val="Normal"/>
        <w:widowControl/>
        <w:rPr>
          <w:b/>
          <w:sz w:val="24"/>
          <w:u w:val="single"/>
        </w:rPr>
      </w:pPr>
      <w:r>
        <w:rPr>
          <w:b/>
          <w:sz w:val="24"/>
          <w:u w:val="single"/>
        </w:rPr>
      </w:r>
    </w:p>
    <w:p>
      <w:pPr>
        <w:pStyle w:val="Normal"/>
        <w:widowControl/>
        <w:rPr>
          <w:sz w:val="24"/>
        </w:rPr>
      </w:pPr>
      <w:r>
        <w:rPr>
          <w:sz w:val="24"/>
        </w:rPr>
        <w:t xml:space="preserve">Mr. Hugo presented a lending update as attached to these minutes. </w:t>
      </w:r>
    </w:p>
    <w:p>
      <w:pPr>
        <w:pStyle w:val="Normal"/>
        <w:widowControl/>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During the month of July 2000, the Board of Directors and Loan Officers approved the following: 295 loans in the amount of $3,590,980. Total loans denied were 81 in the aggregate amount of $623,902.</w:t>
      </w:r>
    </w:p>
    <w:p>
      <w:pPr>
        <w:pStyle w:val="Normal"/>
        <w:widowControl/>
        <w:rPr>
          <w:sz w:val="24"/>
        </w:rPr>
      </w:pPr>
      <w:r>
        <w:rPr>
          <w:sz w:val="24"/>
        </w:rPr>
      </w:r>
    </w:p>
    <w:p>
      <w:pPr>
        <w:pStyle w:val="BodyText2"/>
        <w:rPr/>
      </w:pPr>
      <w:r>
        <w:rPr/>
        <w:t xml:space="preserve">The following loans were recommended for charge-off.  </w:t>
        <w:tab/>
      </w:r>
    </w:p>
    <w:p>
      <w:pPr>
        <w:pStyle w:val="Normal"/>
        <w:widowControl/>
        <w:ind w:firstLine="720" w:end="0"/>
        <w:rPr>
          <w:sz w:val="24"/>
        </w:rPr>
      </w:pPr>
      <w:r>
        <w:rPr>
          <w:sz w:val="24"/>
        </w:rPr>
      </w:r>
    </w:p>
    <w:p>
      <w:pPr>
        <w:pStyle w:val="Normal"/>
        <w:widowControl/>
        <w:ind w:firstLine="720" w:end="0"/>
        <w:rPr>
          <w:sz w:val="24"/>
        </w:rPr>
      </w:pPr>
      <w:r>
        <w:rPr>
          <w:sz w:val="24"/>
        </w:rPr>
        <w:t>David Roberts</w:t>
        <w:tab/>
        <w:tab/>
        <w:t>$12,458.09</w:t>
      </w:r>
    </w:p>
    <w:p>
      <w:pPr>
        <w:pStyle w:val="Normal"/>
        <w:widowControl/>
        <w:ind w:firstLine="720" w:end="0"/>
        <w:rPr>
          <w:sz w:val="24"/>
        </w:rPr>
      </w:pPr>
      <w:r>
        <w:rPr>
          <w:sz w:val="24"/>
        </w:rPr>
        <w:t>Don Robertson</w:t>
        <w:tab/>
        <w:t xml:space="preserve">    3,242.43</w:t>
      </w:r>
    </w:p>
    <w:p>
      <w:pPr>
        <w:pStyle w:val="Normal"/>
        <w:widowControl/>
        <w:ind w:firstLine="720" w:end="0"/>
        <w:rPr>
          <w:sz w:val="24"/>
        </w:rPr>
      </w:pPr>
      <w:r>
        <w:rPr>
          <w:sz w:val="24"/>
        </w:rPr>
        <w:t>Shannon Shields</w:t>
        <w:tab/>
        <w:t xml:space="preserve">    3,936.02</w:t>
      </w:r>
    </w:p>
    <w:p>
      <w:pPr>
        <w:pStyle w:val="Normal"/>
        <w:widowControl/>
        <w:ind w:firstLine="720" w:end="0"/>
        <w:rPr>
          <w:sz w:val="24"/>
        </w:rPr>
      </w:pPr>
      <w:r>
        <w:rPr>
          <w:sz w:val="24"/>
        </w:rPr>
        <w:t>Gloria Walker</w:t>
        <w:tab/>
        <w:tab/>
        <w:t xml:space="preserve">    2,445.93</w:t>
      </w:r>
    </w:p>
    <w:p>
      <w:pPr>
        <w:pStyle w:val="Normal"/>
        <w:widowControl/>
        <w:ind w:firstLine="720" w:end="0"/>
        <w:rPr>
          <w:sz w:val="24"/>
        </w:rPr>
      </w:pPr>
      <w:r>
        <w:rPr>
          <w:sz w:val="24"/>
        </w:rPr>
      </w:r>
    </w:p>
    <w:p>
      <w:pPr>
        <w:pStyle w:val="Normal"/>
        <w:ind w:firstLine="720" w:end="0"/>
        <w:rPr/>
      </w:pPr>
      <w:r>
        <w:rPr>
          <w:sz w:val="24"/>
        </w:rPr>
        <w:tab/>
        <w:tab/>
        <w:tab/>
      </w:r>
      <w:r>
        <w:rPr>
          <w:b/>
          <w:sz w:val="24"/>
          <w:u w:val="double"/>
        </w:rPr>
        <w:t>$22,082.47</w:t>
      </w:r>
    </w:p>
    <w:p>
      <w:pPr>
        <w:pStyle w:val="Normal"/>
        <w:widowControl/>
        <w:rPr>
          <w:b/>
          <w:sz w:val="24"/>
          <w:u w:val="double"/>
        </w:rPr>
      </w:pPr>
      <w:r>
        <w:rPr>
          <w:b/>
          <w:sz w:val="24"/>
          <w:u w:val="double"/>
        </w:rPr>
      </w:r>
    </w:p>
    <w:p>
      <w:pPr>
        <w:pStyle w:val="Normal"/>
        <w:widowControl/>
        <w:rPr>
          <w:sz w:val="24"/>
        </w:rPr>
      </w:pPr>
      <w:r>
        <w:rPr>
          <w:sz w:val="24"/>
        </w:rPr>
        <w:t>Mr. Fancler made a motion that the Board approve the preceding accounts for charge-off.  Discussion was held and the motion carried by board vote.</w:t>
      </w:r>
    </w:p>
    <w:p>
      <w:pPr>
        <w:pStyle w:val="Normal"/>
        <w:widowControl/>
        <w:rPr>
          <w:sz w:val="24"/>
        </w:rPr>
      </w:pPr>
      <w:r>
        <w:rPr>
          <w:sz w:val="24"/>
        </w:rPr>
      </w:r>
    </w:p>
    <w:p>
      <w:pPr>
        <w:pStyle w:val="Normal"/>
        <w:widowControl/>
        <w:rPr>
          <w:sz w:val="24"/>
        </w:rPr>
      </w:pPr>
      <w:r>
        <w:rPr>
          <w:sz w:val="24"/>
        </w:rPr>
      </w:r>
    </w:p>
    <w:p>
      <w:pPr>
        <w:pStyle w:val="Normal"/>
        <w:widowControl/>
        <w:jc w:val="both"/>
        <w:rPr>
          <w:sz w:val="24"/>
        </w:rPr>
      </w:pPr>
      <w:r>
        <w:rPr>
          <w:b/>
          <w:sz w:val="24"/>
          <w:u w:val="single"/>
        </w:rPr>
        <w:t>Allowance For Loan Loss Provision</w:t>
      </w:r>
    </w:p>
    <w:p>
      <w:pPr>
        <w:pStyle w:val="Normal"/>
        <w:widowControl/>
        <w:jc w:val="both"/>
        <w:rPr>
          <w:sz w:val="24"/>
        </w:rPr>
      </w:pPr>
      <w:r>
        <w:rPr>
          <w:sz w:val="24"/>
        </w:rPr>
      </w:r>
    </w:p>
    <w:p>
      <w:pPr>
        <w:pStyle w:val="Normal"/>
        <w:widowControl/>
        <w:jc w:val="both"/>
        <w:rPr>
          <w:sz w:val="24"/>
        </w:rPr>
      </w:pPr>
      <w:r>
        <w:rPr>
          <w:sz w:val="24"/>
        </w:rPr>
        <w:t>Mr. Hugo made a recommendation to make the budgeted $30,000 Allowance for Loan Loss transfer this month.  Mr. Fancler made a motion to approve the recommendation.  Motion carried by board vote.</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rPr>
          <w:b/>
          <w:sz w:val="24"/>
          <w:u w:val="single"/>
        </w:rPr>
      </w:pPr>
      <w:r>
        <w:rPr>
          <w:b/>
          <w:sz w:val="24"/>
          <w:u w:val="single"/>
        </w:rPr>
        <w:t>Operations</w:t>
      </w:r>
    </w:p>
    <w:p>
      <w:pPr>
        <w:pStyle w:val="Normal"/>
        <w:widowControl/>
        <w:tabs>
          <w:tab w:val="left" w:pos="720" w:leader="none"/>
          <w:tab w:val="left" w:pos="1530" w:leader="none"/>
          <w:tab w:val="left" w:pos="2160" w:leader="none"/>
          <w:tab w:val="decimal" w:pos="6030" w:leader="none"/>
        </w:tabs>
        <w:jc w:val="both"/>
        <w:rPr>
          <w:b/>
          <w:sz w:val="24"/>
          <w:u w:val="single"/>
        </w:rPr>
      </w:pPr>
      <w:r>
        <w:rPr>
          <w:b/>
          <w:sz w:val="24"/>
          <w:u w:val="single"/>
        </w:rPr>
      </w:r>
    </w:p>
    <w:p>
      <w:pPr>
        <w:pStyle w:val="Normal"/>
        <w:widowControl/>
        <w:tabs>
          <w:tab w:val="left" w:pos="720" w:leader="none"/>
          <w:tab w:val="left" w:pos="1530" w:leader="none"/>
          <w:tab w:val="left" w:pos="2160" w:leader="none"/>
          <w:tab w:val="decimal" w:pos="6030" w:leader="none"/>
        </w:tabs>
        <w:jc w:val="both"/>
        <w:rPr/>
      </w:pPr>
      <w:r>
        <w:rPr>
          <w:sz w:val="24"/>
        </w:rPr>
        <w:t>Ms. Weir presented the Operations Report, which is attached to these minutes. Ronnie Joseph-Operations Clerk, Maria Gallo - Financial Services Rep. and Maribel Martinez-Teller, have been offered full-time positions effective September 1</w:t>
      </w:r>
      <w:r>
        <w:rPr>
          <w:sz w:val="24"/>
          <w:vertAlign w:val="superscript"/>
        </w:rPr>
        <w:t xml:space="preserve">st </w:t>
      </w:r>
      <w:r>
        <w:rPr>
          <w:sz w:val="24"/>
        </w:rPr>
        <w:t>pending passing all pre-employment requirements.  Currently have an opening for a part-time teller.</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b/>
          <w:sz w:val="24"/>
          <w:u w:val="single"/>
        </w:rPr>
        <w:t>Marketing</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 xml:space="preserve">Ms. Olszewski presented the Marketing Report for June 2000, which is attached to these minutes. </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b/>
          <w:sz w:val="24"/>
          <w:u w:val="single"/>
        </w:rPr>
        <w:t>Ratify Rates</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A motion to ratify loan and savings rates was made by Mr. Fancler.  Motion was carried.</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b/>
          <w:sz w:val="24"/>
          <w:u w:val="single"/>
        </w:rPr>
      </w:pPr>
      <w:r>
        <w:rPr>
          <w:b/>
          <w:sz w:val="24"/>
          <w:u w:val="single"/>
        </w:rPr>
        <w:t>President’s Report</w:t>
      </w:r>
    </w:p>
    <w:p>
      <w:pPr>
        <w:pStyle w:val="Normal"/>
        <w:widowControl/>
        <w:tabs>
          <w:tab w:val="left" w:pos="720" w:leader="none"/>
          <w:tab w:val="left" w:pos="1530" w:leader="none"/>
          <w:tab w:val="left" w:pos="2160" w:leader="none"/>
          <w:tab w:val="decimal" w:pos="6030" w:leader="none"/>
        </w:tabs>
        <w:jc w:val="both"/>
        <w:rPr>
          <w:b/>
          <w:sz w:val="24"/>
          <w:u w:val="single"/>
        </w:rPr>
      </w:pPr>
      <w:r>
        <w:rPr>
          <w:b/>
          <w:sz w:val="24"/>
          <w:u w:val="single"/>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Motion to approve the President’s Report was made by Mr. Havemann.  Motion carried.</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t>There being no further business to come before the Board, Ms. Kennedy made a motion to adjourn.  The motion carried by Board vote.</w:t>
      </w:r>
    </w:p>
    <w:p>
      <w:pPr>
        <w:pStyle w:val="Normal"/>
        <w:widowControl/>
        <w:tabs>
          <w:tab w:val="left" w:pos="720" w:leader="none"/>
          <w:tab w:val="left" w:pos="1530" w:leader="none"/>
          <w:tab w:val="left" w:pos="2160" w:leader="none"/>
          <w:tab w:val="decimal" w:pos="6030" w:leader="none"/>
        </w:tabs>
        <w:jc w:val="both"/>
        <w:rPr>
          <w:sz w:val="24"/>
        </w:rPr>
      </w:pPr>
      <w:r>
        <w:rPr>
          <w:sz w:val="24"/>
        </w:rPr>
        <w:br/>
        <w:t>The meeting adjourned at 6:05 p.m.</w:t>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decimal" w:pos="603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ab/>
        <w:tab/>
        <w:tab/>
        <w:tab/>
        <w:t>_________________________________</w:t>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ab/>
        <w:tab/>
        <w:tab/>
        <w:tab/>
        <w:t>Robert Jones, Co-Chairperson</w:t>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______________________________</w:t>
      </w:r>
    </w:p>
    <w:p>
      <w:pPr>
        <w:pStyle w:val="Normal"/>
        <w:widowControl/>
        <w:tabs>
          <w:tab w:val="left" w:pos="720" w:leader="none"/>
          <w:tab w:val="left" w:pos="1530" w:leader="none"/>
          <w:tab w:val="left" w:pos="2160" w:leader="none"/>
          <w:tab w:val="left" w:pos="4320" w:leader="none"/>
          <w:tab w:val="decimal" w:pos="6030" w:leader="none"/>
          <w:tab w:val="decimal" w:pos="6750" w:leader="none"/>
        </w:tabs>
        <w:jc w:val="both"/>
        <w:rPr>
          <w:sz w:val="24"/>
        </w:rPr>
      </w:pPr>
      <w:r>
        <w:rPr>
          <w:sz w:val="24"/>
        </w:rPr>
        <w:t>Dan Fancler, Secretary</w:t>
      </w:r>
    </w:p>
    <w:sectPr>
      <w:footerReference w:type="default" r:id="rId2"/>
      <w:type w:val="nextPage"/>
      <w:pgSz w:w="12240" w:h="15840"/>
      <w:pgMar w:left="1800" w:right="1800" w:gutter="0" w:header="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jc w:val="both"/>
      <w:outlineLvl w:val="0"/>
    </w:pPr>
    <w:rPr>
      <w:b/>
      <w:sz w:val="24"/>
      <w:u w:val="single"/>
    </w:rPr>
  </w:style>
  <w:style w:type="paragraph" w:styleId="Heading2">
    <w:name w:val="heading 2"/>
    <w:basedOn w:val="Normal"/>
    <w:next w:val="Normal"/>
    <w:qFormat/>
    <w:pPr>
      <w:keepNext w:val="true"/>
      <w:widowControl/>
      <w:numPr>
        <w:ilvl w:val="1"/>
        <w:numId w:val="1"/>
      </w:numPr>
      <w:ind w:firstLine="720" w:start="0" w:end="0"/>
      <w:outlineLvl w:val="1"/>
    </w:pPr>
    <w:rPr>
      <w:sz w:val="24"/>
    </w:rPr>
  </w:style>
  <w:style w:type="paragraph" w:styleId="Heading3">
    <w:name w:val="heading 3"/>
    <w:basedOn w:val="Normal"/>
    <w:next w:val="Normal"/>
    <w:qFormat/>
    <w:pPr>
      <w:keepNext w:val="true"/>
      <w:widowControl/>
      <w:numPr>
        <w:ilvl w:val="2"/>
        <w:numId w:val="1"/>
      </w:numPr>
      <w:jc w:val="both"/>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b/>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2000-09-12T10:54:00Z</dcterms:created>
  <dc:creator>Mike Zoch</dc:creator>
  <dc:description/>
  <dc:language>en-CA</dc:language>
  <cp:lastModifiedBy>ideleon</cp:lastModifiedBy>
  <cp:lastPrinted>2000-08-21T14:29:00Z</cp:lastPrinted>
  <dcterms:modified xsi:type="dcterms:W3CDTF">2000-09-12T10:54:00Z</dcterms:modified>
  <cp:revision>2</cp:revision>
  <dc:subject/>
  <dc:title>ENRON FEDERAL CREDIT UNION</dc:title>
</cp:coreProperties>
</file>