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rFonts w:ascii="Arial" w:hAnsi="Arial" w:cs="Arial"/>
          <w:b/>
        </w:rPr>
      </w:pPr>
      <w:r>
        <w:rPr>
          <w:rFonts w:cs="Arial" w:ascii="Arial" w:hAnsi="Arial"/>
          <w:b/>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b/>
        </w:rPr>
      </w:pPr>
      <w:r>
        <w:rPr>
          <w:rFonts w:cs="Arial" w:ascii="Arial" w:hAnsi="Arial"/>
          <w:b/>
        </w:rPr>
        <w:t>FEDERAL ENERGY REGULATORY COMMISSION</w:t>
      </w:r>
    </w:p>
    <w:p>
      <w:pPr>
        <w:pStyle w:val="Normal"/>
        <w:jc w:val="center"/>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San Diego Gas &amp; Electric Company,</w:t>
        <w:tab/>
        <w:tab/>
        <w:t>)</w:t>
      </w:r>
    </w:p>
    <w:p>
      <w:pPr>
        <w:pStyle w:val="Normal"/>
        <w:rPr>
          <w:rFonts w:ascii="Arial" w:hAnsi="Arial" w:cs="Arial"/>
          <w:b/>
        </w:rPr>
      </w:pPr>
      <w:r>
        <w:rPr>
          <w:rFonts w:cs="Arial" w:ascii="Arial" w:hAnsi="Arial"/>
          <w:b/>
        </w:rPr>
        <w:tab/>
        <w:tab/>
        <w:tab/>
        <w:t>Complainant,</w:t>
        <w:tab/>
        <w:tab/>
        <w:t>)</w:t>
      </w:r>
    </w:p>
    <w:p>
      <w:pPr>
        <w:pStyle w:val="Normal"/>
        <w:rPr>
          <w:rFonts w:ascii="Arial" w:hAnsi="Arial" w:cs="Arial"/>
          <w:b/>
        </w:rPr>
      </w:pPr>
      <w:r>
        <w:rPr>
          <w:rFonts w:cs="Arial" w:ascii="Arial" w:hAnsi="Arial"/>
          <w:b/>
        </w:rPr>
        <w:tab/>
        <w:tab/>
        <w:tab/>
        <w:tab/>
        <w:tab/>
        <w:tab/>
        <w:tab/>
        <w:t>)</w:t>
      </w:r>
    </w:p>
    <w:p>
      <w:pPr>
        <w:pStyle w:val="Normal"/>
        <w:rPr>
          <w:rFonts w:ascii="Arial" w:hAnsi="Arial" w:cs="Arial"/>
          <w:b/>
        </w:rPr>
      </w:pPr>
      <w:r>
        <w:rPr>
          <w:rFonts w:cs="Arial" w:ascii="Arial" w:hAnsi="Arial"/>
          <w:b/>
        </w:rPr>
        <w:tab/>
        <w:tab/>
        <w:t>v.</w:t>
        <w:tab/>
        <w:tab/>
        <w:tab/>
        <w:tab/>
        <w:tab/>
        <w:t>)</w:t>
        <w:tab/>
        <w:t>Docket No. EL00-95-045</w:t>
      </w:r>
    </w:p>
    <w:p>
      <w:pPr>
        <w:pStyle w:val="Normal"/>
        <w:rPr>
          <w:rFonts w:ascii="Arial" w:hAnsi="Arial" w:cs="Arial"/>
          <w:b/>
        </w:rPr>
      </w:pPr>
      <w:r>
        <w:rPr>
          <w:rFonts w:cs="Arial" w:ascii="Arial" w:hAnsi="Arial"/>
          <w:b/>
        </w:rPr>
        <w:tab/>
        <w:tab/>
        <w:tab/>
        <w:tab/>
        <w:tab/>
        <w:tab/>
        <w:tab/>
        <w:t>)</w:t>
      </w:r>
    </w:p>
    <w:p>
      <w:pPr>
        <w:pStyle w:val="Normal"/>
        <w:tabs>
          <w:tab w:val="clear" w:pos="720"/>
          <w:tab w:val="left" w:pos="4680" w:leader="none"/>
        </w:tabs>
        <w:rPr>
          <w:rFonts w:ascii="Arial" w:hAnsi="Arial" w:cs="Arial"/>
          <w:b/>
        </w:rPr>
      </w:pPr>
      <w:r>
        <w:rPr>
          <w:rFonts w:cs="Arial" w:ascii="Arial" w:hAnsi="Arial"/>
          <w:b/>
        </w:rPr>
        <w:t>Sellers of Energy and Ancillary Services</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Into Markets Operated by the California</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 xml:space="preserve">California Power Exchange, </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Respondents.</w:t>
        <w:tab/>
        <w:tab/>
        <w:t>)</w:t>
      </w:r>
    </w:p>
    <w:p>
      <w:pPr>
        <w:pStyle w:val="Normal"/>
        <w:tabs>
          <w:tab w:val="clear" w:pos="720"/>
          <w:tab w:val="left" w:pos="4680" w:leader="none"/>
        </w:tabs>
        <w:rPr>
          <w:rFonts w:ascii="Arial" w:hAnsi="Arial" w:cs="Arial"/>
          <w:b/>
        </w:rPr>
      </w:pPr>
      <w:r>
        <w:rPr>
          <w:rFonts w:cs="Arial" w:ascii="Arial" w:hAnsi="Arial"/>
          <w:b/>
        </w:rPr>
        <w:tab/>
        <w:tab/>
        <w:t>)</w:t>
      </w:r>
    </w:p>
    <w:p>
      <w:pPr>
        <w:pStyle w:val="Normal"/>
        <w:tabs>
          <w:tab w:val="clear" w:pos="720"/>
          <w:tab w:val="left" w:pos="4680" w:leader="none"/>
        </w:tabs>
        <w:rPr>
          <w:rFonts w:ascii="Arial" w:hAnsi="Arial" w:cs="Arial"/>
          <w:b/>
        </w:rPr>
      </w:pPr>
      <w:r>
        <w:rPr>
          <w:rFonts w:cs="Arial" w:ascii="Arial" w:hAnsi="Arial"/>
          <w:b/>
        </w:rPr>
        <w:t>Investigation of Practices of the California</w:t>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tab/>
        <w:t>Docket No. EL00-98-042</w:t>
      </w:r>
    </w:p>
    <w:p>
      <w:pPr>
        <w:pStyle w:val="Normal"/>
        <w:rPr>
          <w:rFonts w:ascii="Arial" w:hAnsi="Arial" w:cs="Arial"/>
        </w:rPr>
      </w:pPr>
      <w:r>
        <w:rPr>
          <w:rFonts w:eastAsia="Arial" w:cs="Arial" w:ascii="Arial" w:hAnsi="Arial"/>
          <w:b/>
        </w:rPr>
        <w:t xml:space="preserve">  </w:t>
      </w:r>
      <w:r>
        <w:rPr>
          <w:rFonts w:cs="Arial" w:ascii="Arial" w:hAnsi="Arial"/>
          <w:b/>
        </w:rPr>
        <w:t>California Power Exchange</w:t>
        <w:tab/>
        <w:tab/>
        <w:tab/>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RESPONSE OF THE MODESTO IRRIGATION DISTRICT TO THE</w:t>
      </w:r>
    </w:p>
    <w:p>
      <w:pPr>
        <w:pStyle w:val="Normal"/>
        <w:jc w:val="center"/>
        <w:rPr>
          <w:rFonts w:ascii="Arial" w:hAnsi="Arial" w:cs="Arial"/>
          <w:b/>
        </w:rPr>
      </w:pPr>
      <w:r>
        <w:rPr>
          <w:rFonts w:cs="Arial" w:ascii="Arial" w:hAnsi="Arial"/>
          <w:b/>
        </w:rPr>
        <w:t xml:space="preserve">CALIFORNIA INDEPENDENT SYSTEM OPERATOR CORPORATION’S </w:t>
      </w:r>
    </w:p>
    <w:p>
      <w:pPr>
        <w:pStyle w:val="Normal"/>
        <w:jc w:val="center"/>
        <w:rPr>
          <w:rFonts w:ascii="Arial" w:hAnsi="Arial" w:cs="Arial"/>
        </w:rPr>
      </w:pPr>
      <w:r>
        <w:rPr>
          <w:rFonts w:cs="Arial" w:ascii="Arial" w:hAnsi="Arial"/>
          <w:b/>
        </w:rPr>
        <w:t>FIRST DATA REQUEST TO 202(c) PARTIES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ab/>
        <w:tab/>
        <w:t>In response to the California Independent System Operator Corporation’s  (“ISO”) First Data Request to 202(c) Parties, the Modesto Irrigation District (“MID”) hereby submits the following response:</w:t>
      </w:r>
    </w:p>
    <w:p>
      <w:pPr>
        <w:pStyle w:val="Normal"/>
        <w:tabs>
          <w:tab w:val="left" w:pos="720" w:leader="none"/>
        </w:tabs>
        <w:ind w:start="720" w:end="0"/>
        <w:rPr>
          <w:rFonts w:ascii="Arial" w:hAnsi="Arial" w:cs="Arial"/>
        </w:rPr>
      </w:pPr>
      <w:r>
        <w:rPr>
          <w:rFonts w:cs="Arial" w:ascii="Arial" w:hAnsi="Arial"/>
        </w:rPr>
        <w:tab/>
        <w:tab/>
      </w:r>
      <w:r>
        <w:br w:type="page"/>
      </w:r>
    </w:p>
    <w:p>
      <w:pPr>
        <w:pStyle w:val="Normal"/>
        <w:tabs>
          <w:tab w:val="left" w:pos="720" w:leader="none"/>
        </w:tabs>
        <w:ind w:start="720" w:end="0"/>
        <w:rPr>
          <w:rFonts w:ascii="Arial" w:hAnsi="Arial" w:cs="Arial"/>
        </w:rPr>
      </w:pPr>
      <w:r>
        <w:rPr>
          <w:rFonts w:cs="Arial" w:ascii="Arial" w:hAnsi="Arial"/>
        </w:rPr>
      </w:r>
    </w:p>
    <w:p>
      <w:pPr>
        <w:pStyle w:val="Normal"/>
        <w:tabs>
          <w:tab w:val="left" w:pos="720" w:leader="none"/>
        </w:tabs>
        <w:jc w:val="center"/>
        <w:rPr>
          <w:rFonts w:ascii="Arial" w:hAnsi="Arial" w:cs="Arial"/>
          <w:b/>
          <w:u w:val="single"/>
        </w:rPr>
      </w:pPr>
      <w:r>
        <w:rPr>
          <w:rFonts w:cs="Arial" w:ascii="Arial" w:hAnsi="Arial"/>
          <w:b/>
          <w:u w:val="single"/>
        </w:rPr>
        <w:t>DATA REQUEST</w:t>
      </w:r>
    </w:p>
    <w:p>
      <w:pPr>
        <w:pStyle w:val="Normal"/>
        <w:tabs>
          <w:tab w:val="left" w:pos="720" w:leader="none"/>
        </w:tabs>
        <w:jc w:val="center"/>
        <w:rPr>
          <w:rFonts w:ascii="Arial" w:hAnsi="Arial" w:cs="Arial"/>
          <w:b/>
          <w:u w:val="single"/>
        </w:rPr>
      </w:pPr>
      <w:r>
        <w:rPr>
          <w:rFonts w:cs="Arial" w:ascii="Arial" w:hAnsi="Arial"/>
          <w:b/>
          <w:u w:val="single"/>
        </w:rPr>
      </w:r>
    </w:p>
    <w:p>
      <w:pPr>
        <w:pStyle w:val="Heading1"/>
        <w:ind w:hanging="0" w:start="0"/>
        <w:rPr/>
      </w:pPr>
      <w:r>
        <w:rPr/>
        <w:t>ISO-DOE-1</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rPr>
        <w:t>Please produce any documents prepared by persons in your employ during the time period when sales were allegedly being made pursuant to section 202(c) of the Federal Power Act that, in your judgment, establish that particular sales, specifying intervals and quantities, were made pursuant to DOE Orders.</w:t>
      </w:r>
    </w:p>
    <w:p>
      <w:pPr>
        <w:pStyle w:val="Normal"/>
        <w:tabs>
          <w:tab w:val="left" w:pos="720" w:leader="none"/>
        </w:tabs>
        <w:jc w:val="center"/>
        <w:rPr>
          <w:rFonts w:ascii="Arial" w:hAnsi="Arial" w:cs="Arial"/>
          <w:b/>
          <w:u w:val="single"/>
        </w:rPr>
      </w:pPr>
      <w:r>
        <w:rPr>
          <w:rFonts w:cs="Arial" w:ascii="Arial" w:hAnsi="Arial"/>
          <w:b/>
          <w:u w:val="single"/>
        </w:rPr>
      </w:r>
    </w:p>
    <w:p>
      <w:pPr>
        <w:pStyle w:val="Heading1"/>
        <w:tabs>
          <w:tab w:val="left" w:pos="720" w:leader="none"/>
        </w:tabs>
        <w:ind w:hanging="0" w:start="0"/>
        <w:rPr>
          <w:bCs/>
        </w:rPr>
      </w:pPr>
      <w:r>
        <w:rPr>
          <w:bCs/>
        </w:rPr>
        <w:t>MID Response</w:t>
        <w:tab/>
        <w:tab/>
        <w:t>Prepared by:  Roger VanHoy</w:t>
      </w:r>
    </w:p>
    <w:p>
      <w:pPr>
        <w:pStyle w:val="Normal"/>
        <w:tabs>
          <w:tab w:val="left" w:pos="720" w:leader="none"/>
        </w:tabs>
        <w:rPr>
          <w:rFonts w:ascii="Arial" w:hAnsi="Arial" w:cs="Arial"/>
          <w:bCs/>
        </w:rPr>
      </w:pPr>
      <w:r>
        <w:rPr>
          <w:rFonts w:cs="Arial" w:ascii="Arial" w:hAnsi="Arial"/>
          <w:bCs/>
        </w:rPr>
      </w:r>
    </w:p>
    <w:p>
      <w:pPr>
        <w:pStyle w:val="Normal"/>
        <w:tabs>
          <w:tab w:val="left" w:pos="720" w:leader="none"/>
        </w:tabs>
        <w:rPr>
          <w:rFonts w:ascii="Arial" w:hAnsi="Arial" w:cs="Arial"/>
        </w:rPr>
      </w:pPr>
      <w:r>
        <w:rPr>
          <w:rFonts w:cs="Arial" w:ascii="Arial" w:hAnsi="Arial"/>
        </w:rPr>
        <w:t>Many documents which establish that particular sales were made pursuant to DOE Orders were attached as Exhibits MID-3 through MID-11 to MID’s Responsive Testimony on Issue 1, submitted by Roger VanHoy on November 6, 2001, in the above-captioned proceeding.  In addition, the following documents support MID’s claims as to transactions which MID made pursuant to DOE Orders:</w:t>
      </w:r>
    </w:p>
    <w:p>
      <w:pPr>
        <w:pStyle w:val="Normal"/>
        <w:tabs>
          <w:tab w:val="left" w:pos="720" w:leader="none"/>
        </w:tabs>
        <w:rPr>
          <w:rFonts w:ascii="Arial" w:hAnsi="Arial" w:cs="Arial"/>
        </w:rPr>
      </w:pPr>
      <w:r>
        <w:rPr>
          <w:rFonts w:cs="Arial" w:ascii="Arial" w:hAnsi="Arial"/>
        </w:rPr>
      </w:r>
    </w:p>
    <w:p>
      <w:pPr>
        <w:pStyle w:val="BodyText2"/>
        <w:rPr/>
      </w:pPr>
      <w:r>
        <w:rPr>
          <w:rFonts w:cs="Arial" w:ascii="Arial" w:hAnsi="Arial"/>
          <w:b/>
          <w:bCs/>
          <w:sz w:val="24"/>
        </w:rPr>
        <w:t>1)</w:t>
        <w:tab/>
      </w:r>
      <w:r>
        <w:rPr>
          <w:rFonts w:cs="Arial" w:ascii="Arial" w:hAnsi="Arial"/>
          <w:sz w:val="24"/>
        </w:rPr>
        <w:t>July 2, 2000 letter to Terry Winter</w:t>
      </w:r>
    </w:p>
    <w:p>
      <w:pPr>
        <w:pStyle w:val="BodyText2"/>
        <w:ind w:firstLine="720" w:end="0"/>
        <w:rPr>
          <w:rFonts w:ascii="Arial" w:hAnsi="Arial" w:cs="Arial"/>
          <w:sz w:val="24"/>
        </w:rPr>
      </w:pPr>
      <w:r>
        <w:rPr>
          <w:rFonts w:cs="Arial" w:ascii="Arial" w:hAnsi="Arial"/>
          <w:sz w:val="24"/>
        </w:rPr>
        <w:t>July 2, 2000 notice to FERC</w:t>
      </w:r>
    </w:p>
    <w:p>
      <w:pPr>
        <w:pStyle w:val="BodyText2"/>
        <w:ind w:firstLine="720" w:end="0"/>
        <w:rPr/>
      </w:pPr>
      <w:r>
        <w:rPr>
          <w:rFonts w:cs="Arial" w:ascii="Arial" w:hAnsi="Arial"/>
          <w:sz w:val="24"/>
          <w:u w:val="single"/>
        </w:rPr>
        <w:t>See</w:t>
      </w:r>
      <w:r>
        <w:rPr>
          <w:rFonts w:cs="Arial" w:ascii="Arial" w:hAnsi="Arial"/>
          <w:sz w:val="24"/>
        </w:rPr>
        <w:t xml:space="preserve"> attachment to Staff/MID-2a</w:t>
      </w:r>
    </w:p>
    <w:p>
      <w:pPr>
        <w:pStyle w:val="BodyText2"/>
        <w:ind w:hanging="720" w:start="72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2)</w:t>
        <w:tab/>
      </w:r>
      <w:r>
        <w:rPr>
          <w:rFonts w:cs="Arial" w:ascii="Arial" w:hAnsi="Arial"/>
          <w:sz w:val="24"/>
        </w:rPr>
        <w:t>E-mail from Blair Jackson to ISO</w:t>
      </w:r>
    </w:p>
    <w:p>
      <w:pPr>
        <w:pStyle w:val="BodyText2"/>
        <w:ind w:hanging="720" w:start="720" w:end="0"/>
        <w:rPr/>
      </w:pPr>
      <w:r>
        <w:rPr>
          <w:rFonts w:cs="Arial" w:ascii="Arial" w:hAnsi="Arial"/>
          <w:b/>
          <w:bCs/>
          <w:sz w:val="24"/>
        </w:rPr>
        <w:tab/>
      </w:r>
      <w:r>
        <w:rPr>
          <w:rFonts w:cs="Arial" w:ascii="Arial" w:hAnsi="Arial"/>
          <w:sz w:val="24"/>
          <w:u w:val="single"/>
        </w:rPr>
        <w:t>See</w:t>
      </w:r>
      <w:r>
        <w:rPr>
          <w:rFonts w:cs="Arial" w:ascii="Arial" w:hAnsi="Arial"/>
          <w:sz w:val="24"/>
        </w:rPr>
        <w:t xml:space="preserve"> attachment to Staff/MID-2b</w:t>
      </w:r>
    </w:p>
    <w:p>
      <w:pPr>
        <w:pStyle w:val="BodyText2"/>
        <w:ind w:hanging="720" w:start="72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3)</w:t>
        <w:tab/>
      </w:r>
      <w:r>
        <w:rPr>
          <w:rFonts w:cs="Arial" w:ascii="Arial" w:hAnsi="Arial"/>
          <w:sz w:val="24"/>
        </w:rPr>
        <w:t xml:space="preserve">DOE Waiver of Certain Provisions of Order </w:t>
      </w:r>
    </w:p>
    <w:p>
      <w:pPr>
        <w:pStyle w:val="BodyText2"/>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A herein</w:t>
      </w:r>
    </w:p>
    <w:p>
      <w:pPr>
        <w:pStyle w:val="BodyText2"/>
        <w:ind w:hanging="720" w:start="72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4)</w:t>
      </w:r>
      <w:r>
        <w:rPr>
          <w:rFonts w:cs="Arial" w:ascii="Arial" w:hAnsi="Arial"/>
          <w:sz w:val="24"/>
        </w:rPr>
        <w:tab/>
        <w:t>January 16, 17, 2001 Notifications to the California ISO respecting resources available</w:t>
      </w:r>
    </w:p>
    <w:p>
      <w:pPr>
        <w:pStyle w:val="BodyText2"/>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B herein</w:t>
      </w:r>
    </w:p>
    <w:p>
      <w:pPr>
        <w:pStyle w:val="BodyText2"/>
        <w:ind w:hanging="2160" w:start="2160" w:end="0"/>
        <w:rPr>
          <w:rFonts w:ascii="Arial" w:hAnsi="Arial" w:cs="Arial"/>
          <w:sz w:val="24"/>
        </w:rPr>
      </w:pPr>
      <w:r>
        <w:rPr>
          <w:rFonts w:cs="Arial" w:ascii="Arial" w:hAnsi="Arial"/>
          <w:sz w:val="24"/>
        </w:rPr>
      </w:r>
    </w:p>
    <w:p>
      <w:pPr>
        <w:pStyle w:val="BodyText2"/>
        <w:tabs>
          <w:tab w:val="left" w:pos="720" w:leader="none"/>
        </w:tabs>
        <w:ind w:hanging="2160" w:start="2160" w:end="0"/>
        <w:rPr/>
      </w:pPr>
      <w:r>
        <w:rPr>
          <w:rFonts w:cs="Arial" w:ascii="Arial" w:hAnsi="Arial"/>
          <w:b/>
          <w:bCs/>
          <w:sz w:val="24"/>
        </w:rPr>
        <w:t>5)</w:t>
      </w:r>
      <w:r>
        <w:rPr>
          <w:rFonts w:cs="Arial" w:ascii="Arial" w:hAnsi="Arial"/>
          <w:sz w:val="24"/>
        </w:rPr>
        <w:tab/>
        <w:t>12-20-00 Fax from MID Control Center to ISO</w:t>
        <w:tab/>
      </w:r>
    </w:p>
    <w:p>
      <w:pPr>
        <w:pStyle w:val="BodyText2"/>
        <w:tabs>
          <w:tab w:val="left" w:pos="720" w:leader="none"/>
        </w:tabs>
        <w:ind w:hanging="2160" w:start="2160" w:end="0"/>
        <w:rPr/>
      </w:pPr>
      <w:r>
        <w:rPr>
          <w:rFonts w:cs="Arial" w:ascii="Arial" w:hAnsi="Arial"/>
          <w:sz w:val="24"/>
        </w:rPr>
        <w:tab/>
      </w:r>
      <w:r>
        <w:rPr>
          <w:rFonts w:cs="Arial" w:ascii="Arial" w:hAnsi="Arial"/>
          <w:sz w:val="24"/>
          <w:u w:val="single"/>
        </w:rPr>
        <w:t>See</w:t>
      </w:r>
      <w:r>
        <w:rPr>
          <w:rFonts w:cs="Arial" w:ascii="Arial" w:hAnsi="Arial"/>
          <w:sz w:val="24"/>
        </w:rPr>
        <w:t xml:space="preserve"> attachment to Staff/MID-4a</w:t>
      </w:r>
    </w:p>
    <w:p>
      <w:pPr>
        <w:pStyle w:val="BodyText2"/>
        <w:ind w:hanging="2160" w:start="2160" w:end="0"/>
        <w:rPr>
          <w:rFonts w:ascii="Arial" w:hAnsi="Arial" w:cs="Arial"/>
          <w:sz w:val="24"/>
        </w:rPr>
      </w:pPr>
      <w:r>
        <w:rPr>
          <w:rFonts w:cs="Arial" w:ascii="Arial" w:hAnsi="Arial"/>
          <w:sz w:val="24"/>
        </w:rPr>
      </w:r>
    </w:p>
    <w:p>
      <w:pPr>
        <w:pStyle w:val="BodyText2"/>
        <w:tabs>
          <w:tab w:val="left" w:pos="720" w:leader="none"/>
        </w:tabs>
        <w:ind w:hanging="720" w:start="720" w:end="0"/>
        <w:rPr/>
      </w:pPr>
      <w:r>
        <w:rPr>
          <w:rFonts w:cs="Arial" w:ascii="Arial" w:hAnsi="Arial"/>
          <w:b/>
          <w:bCs/>
          <w:sz w:val="24"/>
        </w:rPr>
        <w:t>6)</w:t>
      </w:r>
      <w:r>
        <w:rPr>
          <w:rFonts w:cs="Arial" w:ascii="Arial" w:hAnsi="Arial"/>
          <w:sz w:val="24"/>
        </w:rPr>
        <w:tab/>
        <w:t>Notifications faxed to the California ISO for December 21, 22, 26, and 28, 2000 and for January 9, 2001</w:t>
      </w:r>
    </w:p>
    <w:p>
      <w:pPr>
        <w:pStyle w:val="BodyText2"/>
        <w:tabs>
          <w:tab w:val="left" w:pos="720" w:leader="none"/>
        </w:tabs>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to Staff/MID-8</w:t>
      </w:r>
    </w:p>
    <w:p>
      <w:pPr>
        <w:pStyle w:val="BodyText2"/>
        <w:tabs>
          <w:tab w:val="left" w:pos="720" w:leader="none"/>
        </w:tabs>
        <w:ind w:hanging="720" w:start="720" w:end="0"/>
        <w:rPr>
          <w:rFonts w:ascii="Arial" w:hAnsi="Arial" w:cs="Arial"/>
          <w:sz w:val="24"/>
        </w:rPr>
      </w:pPr>
      <w:r>
        <w:rPr>
          <w:rFonts w:cs="Arial" w:ascii="Arial" w:hAnsi="Arial"/>
          <w:sz w:val="24"/>
        </w:rPr>
      </w:r>
    </w:p>
    <w:p>
      <w:pPr>
        <w:pStyle w:val="BodyText2"/>
        <w:ind w:hanging="2160" w:start="216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7)</w:t>
        <w:tab/>
      </w:r>
      <w:r>
        <w:rPr>
          <w:rFonts w:cs="Arial" w:ascii="Arial" w:hAnsi="Arial"/>
          <w:sz w:val="24"/>
        </w:rPr>
        <w:t>Spreadsheet showing amounts and mcp for emergency power provided to PG&amp;E</w:t>
      </w:r>
    </w:p>
    <w:p>
      <w:pPr>
        <w:pStyle w:val="BodyText2"/>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to Staff/MID-10a</w:t>
      </w:r>
    </w:p>
    <w:p>
      <w:pPr>
        <w:pStyle w:val="BodyText2"/>
        <w:ind w:hanging="720" w:start="72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8)</w:t>
      </w:r>
      <w:r>
        <w:rPr>
          <w:rFonts w:cs="Arial" w:ascii="Arial" w:hAnsi="Arial"/>
          <w:sz w:val="24"/>
        </w:rPr>
        <w:tab/>
        <w:t>Copies of Schedulers Logs with references to emergency power</w:t>
      </w:r>
    </w:p>
    <w:p>
      <w:pPr>
        <w:pStyle w:val="BodyText2"/>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to Staff/MID-10b</w:t>
      </w:r>
    </w:p>
    <w:p>
      <w:pPr>
        <w:pStyle w:val="BodyText2"/>
        <w:ind w:hanging="720" w:start="720" w:end="0"/>
        <w:rPr>
          <w:rFonts w:ascii="Arial" w:hAnsi="Arial" w:cs="Arial"/>
          <w:sz w:val="24"/>
        </w:rPr>
      </w:pPr>
      <w:r>
        <w:rPr>
          <w:rFonts w:cs="Arial" w:ascii="Arial" w:hAnsi="Arial"/>
          <w:sz w:val="24"/>
        </w:rPr>
      </w:r>
    </w:p>
    <w:p>
      <w:pPr>
        <w:pStyle w:val="BodyText2"/>
        <w:ind w:hanging="720" w:start="720" w:end="0"/>
        <w:rPr/>
      </w:pPr>
      <w:r>
        <w:rPr>
          <w:rFonts w:cs="Arial" w:ascii="Arial" w:hAnsi="Arial"/>
          <w:b/>
          <w:bCs/>
          <w:sz w:val="24"/>
        </w:rPr>
        <w:t>9)</w:t>
      </w:r>
      <w:r>
        <w:rPr>
          <w:rFonts w:cs="Arial" w:ascii="Arial" w:hAnsi="Arial"/>
          <w:sz w:val="24"/>
        </w:rPr>
        <w:tab/>
        <w:t>Estimate of Available Excess Energy from M.I.D.</w:t>
      </w:r>
    </w:p>
    <w:p>
      <w:pPr>
        <w:pStyle w:val="BodyText2"/>
        <w:ind w:hanging="720" w:start="720" w:end="0"/>
        <w:rPr/>
      </w:pPr>
      <w:r>
        <w:rPr>
          <w:rFonts w:cs="Arial" w:ascii="Arial" w:hAnsi="Arial"/>
          <w:sz w:val="24"/>
        </w:rPr>
        <w:tab/>
      </w:r>
      <w:r>
        <w:rPr>
          <w:rFonts w:cs="Arial" w:ascii="Arial" w:hAnsi="Arial"/>
          <w:sz w:val="24"/>
          <w:u w:val="single"/>
        </w:rPr>
        <w:t>See</w:t>
      </w:r>
      <w:r>
        <w:rPr>
          <w:rFonts w:cs="Arial" w:ascii="Arial" w:hAnsi="Arial"/>
          <w:sz w:val="24"/>
        </w:rPr>
        <w:t xml:space="preserve"> Attachment C herein</w:t>
      </w:r>
    </w:p>
    <w:p>
      <w:pPr>
        <w:pStyle w:val="Header"/>
        <w:tabs>
          <w:tab w:val="clear" w:pos="4320"/>
          <w:tab w:val="clear" w:pos="8640"/>
          <w:tab w:val="left" w:pos="720" w:leader="none"/>
        </w:tabs>
        <w:rPr>
          <w:rFonts w:ascii="Arial" w:hAnsi="Arial" w:cs="Arial"/>
          <w:sz w:val="24"/>
        </w:rPr>
      </w:pPr>
      <w:r>
        <w:rPr>
          <w:rFonts w:cs="Arial" w:ascii="Arial" w:hAnsi="Arial"/>
          <w:sz w:val="24"/>
        </w:rPr>
      </w:r>
    </w:p>
    <w:p>
      <w:pPr>
        <w:pStyle w:val="Heading1"/>
        <w:tabs>
          <w:tab w:val="left" w:pos="720" w:leader="none"/>
        </w:tabs>
        <w:ind w:hanging="0" w:start="0"/>
        <w:rPr>
          <w:rFonts w:cs="Arial"/>
          <w:bCs/>
        </w:rPr>
      </w:pPr>
      <w:r>
        <w:rPr>
          <w:rFonts w:cs="Arial"/>
          <w:bCs/>
        </w:rPr>
        <w:t>Dated: December 3, 2001</w:t>
      </w:r>
    </w:p>
    <w:sectPr>
      <w:headerReference w:type="default" r:id="rId2"/>
      <w:type w:val="nextPage"/>
      <w:pgSz w:w="12240" w:h="15840"/>
      <w:pgMar w:left="1440" w:right="1267"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rPr>
    </w:pPr>
    <w:r>
      <w:rPr>
        <w:rFonts w:cs="Arial" w:ascii="Arial" w:hAnsi="Arial"/>
        <w:b/>
      </w:rPr>
      <w:t>SAN DIEGO GAS &amp; ELECTRIC COMPANY, ET AL.</w:t>
    </w:r>
  </w:p>
  <w:p>
    <w:pPr>
      <w:pStyle w:val="Normal"/>
      <w:jc w:val="center"/>
      <w:rPr>
        <w:rFonts w:ascii="Arial" w:hAnsi="Arial" w:cs="Arial"/>
        <w:b/>
      </w:rPr>
    </w:pPr>
    <w:r>
      <w:rPr>
        <w:rFonts w:cs="Arial" w:ascii="Arial" w:hAnsi="Arial"/>
        <w:b/>
      </w:rPr>
      <w:t>DOCKET NO. EL00-95 ET AL.</w:t>
    </w:r>
  </w:p>
  <w:p>
    <w:pPr>
      <w:pStyle w:val="Normal"/>
      <w:jc w:val="center"/>
      <w:rPr>
        <w:rFonts w:ascii="Arial" w:hAnsi="Arial" w:cs="Arial"/>
        <w:b/>
      </w:rPr>
    </w:pPr>
    <w:r>
      <w:rPr>
        <w:rFonts w:cs="Arial" w:ascii="Arial" w:hAnsi="Arial"/>
        <w:b/>
      </w:rPr>
    </w:r>
  </w:p>
  <w:p>
    <w:pPr>
      <w:pStyle w:val="Header"/>
      <w:jc w:val="center"/>
      <w:rPr>
        <w:rFonts w:ascii="Arial" w:hAnsi="Arial" w:cs="Arial"/>
        <w:b/>
      </w:rPr>
    </w:pPr>
    <w:r>
      <w:rPr>
        <w:rFonts w:cs="Arial" w:ascii="Arial" w:hAnsi="Arial"/>
        <w:b/>
      </w:rPr>
      <w:t>CALIFORNIA ISO’S FIRST DATA REQUEST</w:t>
    </w:r>
  </w:p>
  <w:p>
    <w:pPr>
      <w:pStyle w:val="Header"/>
      <w:jc w:val="center"/>
      <w:rPr>
        <w:rFonts w:ascii="Arial" w:hAnsi="Arial" w:cs="Arial"/>
        <w:b/>
      </w:rPr>
    </w:pPr>
    <w:r>
      <w:rPr>
        <w:rFonts w:cs="Arial" w:ascii="Arial" w:hAnsi="Arial"/>
        <w:b/>
      </w:rPr>
      <w:t>TO 202(c) PARTIES</w:t>
    </w:r>
  </w:p>
  <w:p>
    <w:pPr>
      <w:pStyle w:val="Header"/>
      <w:jc w:val="center"/>
      <w:rPr>
        <w:rFonts w:ascii="Arial" w:hAnsi="Arial" w:cs="Arial"/>
        <w:b/>
      </w:rPr>
    </w:pPr>
    <w:r>
      <w:rPr>
        <w:rFonts w:cs="Arial" w:ascii="Arial" w:hAnsi="Arial"/>
        <w:b/>
      </w:rPr>
    </w:r>
  </w:p>
  <w:p>
    <w:pPr>
      <w:pStyle w:val="Header"/>
      <w:jc w:val="cent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s>
      <w:ind w:hanging="1440" w:start="1440" w:end="0"/>
    </w:pPr>
    <w:rPr/>
  </w:style>
  <w:style w:type="paragraph" w:styleId="BodyTextIndent2">
    <w:name w:val="Body Text Indent 2"/>
    <w:basedOn w:val="Normal"/>
    <w:qFormat/>
    <w:pPr>
      <w:spacing w:lineRule="auto" w:line="480"/>
      <w:ind w:hanging="720" w:start="72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spacing w:lineRule="auto" w:line="480"/>
      <w:ind w:firstLine="720" w:start="0" w:end="0"/>
    </w:pPr>
    <w:rPr>
      <w:rFonts w:ascii="Arial" w:hAnsi="Arial" w:cs="Arial"/>
    </w:rPr>
  </w:style>
  <w:style w:type="paragraph" w:styleId="SignatureBlock">
    <w:name w:val="Signature Block"/>
    <w:basedOn w:val="Normal"/>
    <w:qFormat/>
    <w:pPr>
      <w:ind w:hanging="0" w:start="4320" w:end="0"/>
    </w:pPr>
    <w:rPr/>
  </w:style>
  <w:style w:type="paragraph" w:styleId="BodyText2">
    <w:name w:val="Body Text 2"/>
    <w:basedOn w:val="Normal"/>
    <w:qFormat/>
    <w:pPr>
      <w:widowControl w:val="false"/>
    </w:pPr>
    <w:rPr>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2001-12-03T10:02:00Z</dcterms:created>
  <dc:creator>Theodore J. Paradise</dc:creator>
  <dc:description/>
  <dc:language>en-CA</dc:language>
  <cp:lastModifiedBy>13W5J01</cp:lastModifiedBy>
  <cp:lastPrinted>2001-12-03T17:24:00Z</cp:lastPrinted>
  <dcterms:modified xsi:type="dcterms:W3CDTF">2001-12-03T20:11:00Z</dcterms:modified>
  <cp:revision>11</cp:revision>
  <dc:subject/>
  <dc:title>UNITED STATES OF AMERICA</dc:title>
</cp:coreProperties>
</file>