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rPr>
          <w:b/>
        </w:rPr>
      </w:pPr>
      <w:r>
        <w:rPr>
          <w:b/>
        </w:rPr>
      </w:r>
    </w:p>
    <w:p>
      <w:pPr>
        <w:pStyle w:val="Normal"/>
        <w:rPr>
          <w:b/>
        </w:rPr>
      </w:pPr>
      <w:r>
        <w:rPr>
          <w:b/>
        </w:rPr>
      </w:r>
    </w:p>
    <w:p>
      <w:pPr>
        <w:pStyle w:val="Normal"/>
        <w:rPr>
          <w:b/>
        </w:rPr>
      </w:pPr>
      <w:r>
        <w:rPr>
          <w:b/>
        </w:rPr>
      </w:r>
    </w:p>
    <w:p>
      <w:pPr>
        <w:pStyle w:val="Normal"/>
        <w:tabs>
          <w:tab w:val="clear" w:pos="720"/>
          <w:tab w:val="left" w:pos="4320" w:leader="none"/>
        </w:tabs>
        <w:rPr/>
      </w:pPr>
      <w:r>
        <w:rPr/>
        <w:t>San Diego Gas &amp; Electric Company,</w:t>
        <w:tab/>
        <w:t>)</w:t>
      </w:r>
    </w:p>
    <w:p>
      <w:pPr>
        <w:pStyle w:val="Normal"/>
        <w:tabs>
          <w:tab w:val="clear" w:pos="720"/>
          <w:tab w:val="left" w:pos="4320" w:leader="none"/>
        </w:tabs>
        <w:ind w:start="1440" w:end="0"/>
        <w:rPr/>
      </w:pPr>
      <w:r>
        <w:rPr/>
        <w:t>Complainant,</w:t>
        <w:tab/>
        <w:t>)</w:t>
      </w:r>
    </w:p>
    <w:p>
      <w:pPr>
        <w:pStyle w:val="Normal"/>
        <w:tabs>
          <w:tab w:val="clear" w:pos="720"/>
          <w:tab w:val="left" w:pos="4320" w:leader="none"/>
        </w:tabs>
        <w:rPr/>
      </w:pPr>
      <w:r>
        <w:rPr/>
        <w:tab/>
        <w:t>)</w:t>
      </w:r>
    </w:p>
    <w:p>
      <w:pPr>
        <w:pStyle w:val="Normal"/>
        <w:ind w:firstLine="1440" w:end="0"/>
        <w:rPr/>
      </w:pPr>
      <w:r>
        <w:rPr/>
        <w:t>v.</w:t>
        <w:tab/>
        <w:tab/>
        <w:tab/>
        <w:tab/>
        <w:t>)</w:t>
        <w:tab/>
        <w:t>Docket No. EL00-95-045</w:t>
      </w:r>
    </w:p>
    <w:p>
      <w:pPr>
        <w:pStyle w:val="Normal"/>
        <w:tabs>
          <w:tab w:val="clear" w:pos="720"/>
          <w:tab w:val="left" w:pos="4320" w:leader="none"/>
        </w:tabs>
        <w:ind w:firstLine="1440" w:end="0"/>
        <w:rPr/>
      </w:pPr>
      <w:r>
        <w:rPr/>
        <w:tab/>
        <w:t>)</w:t>
      </w:r>
    </w:p>
    <w:p>
      <w:pPr>
        <w:pStyle w:val="Normal"/>
        <w:tabs>
          <w:tab w:val="clear" w:pos="720"/>
          <w:tab w:val="left" w:pos="4320" w:leader="none"/>
        </w:tabs>
        <w:rPr/>
      </w:pPr>
      <w:r>
        <w:rPr/>
        <w:t xml:space="preserve">Sellers of Energy and Ancillary Service </w:t>
        <w:tab/>
        <w:t>)</w:t>
      </w:r>
    </w:p>
    <w:p>
      <w:pPr>
        <w:pStyle w:val="Normal"/>
        <w:tabs>
          <w:tab w:val="clear" w:pos="720"/>
          <w:tab w:val="left" w:pos="4320" w:leader="none"/>
        </w:tabs>
        <w:ind w:start="180" w:end="0"/>
        <w:rPr/>
      </w:pPr>
      <w:r>
        <w:rPr/>
        <w:t>Into Markets Operated by the California</w:t>
        <w:tab/>
        <w:t>)</w:t>
      </w:r>
    </w:p>
    <w:p>
      <w:pPr>
        <w:pStyle w:val="Normal"/>
        <w:tabs>
          <w:tab w:val="clear" w:pos="720"/>
          <w:tab w:val="left" w:pos="4320" w:leader="none"/>
        </w:tabs>
        <w:ind w:start="180" w:end="0"/>
        <w:rPr/>
      </w:pPr>
      <w:r>
        <w:rPr/>
        <w:t>Independent System Operator Corporation</w:t>
        <w:tab/>
        <w:t>)</w:t>
      </w:r>
    </w:p>
    <w:p>
      <w:pPr>
        <w:pStyle w:val="Normal"/>
        <w:tabs>
          <w:tab w:val="clear" w:pos="720"/>
          <w:tab w:val="left" w:pos="4320" w:leader="none"/>
        </w:tabs>
        <w:ind w:start="180" w:end="0"/>
        <w:rPr/>
      </w:pPr>
      <w:r>
        <w:rPr/>
        <w:t>and the California Power Exchange,</w:t>
        <w:tab/>
        <w:t>)</w:t>
      </w:r>
    </w:p>
    <w:p>
      <w:pPr>
        <w:pStyle w:val="Normal"/>
        <w:tabs>
          <w:tab w:val="clear" w:pos="720"/>
          <w:tab w:val="left" w:pos="4320" w:leader="none"/>
        </w:tabs>
        <w:ind w:start="1440" w:end="0"/>
        <w:rPr/>
      </w:pPr>
      <w:r>
        <w:rPr/>
        <w:t>Respondents.</w:t>
        <w:tab/>
        <w:t>)</w:t>
      </w:r>
    </w:p>
    <w:p>
      <w:pPr>
        <w:pStyle w:val="Normal"/>
        <w:tabs>
          <w:tab w:val="clear" w:pos="720"/>
          <w:tab w:val="left" w:pos="4320" w:leader="none"/>
        </w:tabs>
        <w:rPr/>
      </w:pPr>
      <w:r>
        <w:rPr/>
        <w:tab/>
        <w:t>)</w:t>
      </w:r>
    </w:p>
    <w:p>
      <w:pPr>
        <w:pStyle w:val="Normal"/>
        <w:tabs>
          <w:tab w:val="clear" w:pos="720"/>
          <w:tab w:val="left" w:pos="4320" w:leader="none"/>
        </w:tabs>
        <w:rPr/>
      </w:pPr>
      <w:r>
        <w:rPr/>
        <w:t>Investigation of Practices of the California</w:t>
        <w:tab/>
        <w:t>)</w:t>
        <w:tab/>
        <w:t xml:space="preserve">Docket No. EL00-98-042 </w:t>
      </w:r>
    </w:p>
    <w:p>
      <w:pPr>
        <w:pStyle w:val="Normal"/>
        <w:tabs>
          <w:tab w:val="clear" w:pos="720"/>
          <w:tab w:val="left" w:pos="4320" w:leader="none"/>
        </w:tabs>
        <w:ind w:start="180" w:end="0"/>
        <w:rPr/>
      </w:pPr>
      <w:r>
        <w:rPr/>
        <w:t>Independent System Operator and the</w:t>
        <w:tab/>
        <w:t>)</w:t>
      </w:r>
    </w:p>
    <w:p>
      <w:pPr>
        <w:pStyle w:val="Normal"/>
        <w:tabs>
          <w:tab w:val="clear" w:pos="720"/>
          <w:tab w:val="left" w:pos="4320" w:leader="none"/>
        </w:tabs>
        <w:ind w:start="180" w:end="0"/>
        <w:rPr/>
      </w:pPr>
      <w:r>
        <w:rPr/>
        <w:t>California Power Exchange</w:t>
        <w:tab/>
        <w:t>)</w:t>
      </w:r>
    </w:p>
    <w:p>
      <w:pPr>
        <w:pStyle w:val="Normal"/>
        <w:tabs>
          <w:tab w:val="clear" w:pos="720"/>
          <w:tab w:val="left" w:pos="4320" w:leader="none"/>
        </w:tabs>
        <w:ind w:start="180" w:end="0"/>
        <w:rPr/>
      </w:pPr>
      <w:r>
        <w:rPr/>
      </w:r>
    </w:p>
    <w:p>
      <w:pPr>
        <w:pStyle w:val="Normal"/>
        <w:rPr>
          <w:b/>
        </w:rPr>
      </w:pPr>
      <w:r>
        <w:rPr>
          <w:b/>
        </w:rPr>
      </w:r>
    </w:p>
    <w:p>
      <w:pPr>
        <w:pStyle w:val="Heading2"/>
        <w:ind w:hanging="0" w:start="0"/>
        <w:rPr>
          <w:bCs/>
        </w:rPr>
      </w:pPr>
      <w:r>
        <w:rPr>
          <w:bCs/>
        </w:rPr>
        <w:t>RESPONSE OF THE MODESTO IRRIGATION DISTRICT</w:t>
      </w:r>
    </w:p>
    <w:p>
      <w:pPr>
        <w:pStyle w:val="Normal"/>
        <w:jc w:val="center"/>
        <w:rPr>
          <w:b/>
        </w:rPr>
      </w:pPr>
      <w:r>
        <w:rPr>
          <w:b/>
        </w:rPr>
        <w:t>TO ORDER RE PROTECTIVE ORDER</w:t>
      </w:r>
    </w:p>
    <w:p>
      <w:pPr>
        <w:pStyle w:val="Normal"/>
        <w:rPr>
          <w:b/>
        </w:rPr>
      </w:pPr>
      <w:r>
        <w:rPr>
          <w:b/>
        </w:rPr>
      </w:r>
    </w:p>
    <w:p>
      <w:pPr>
        <w:pStyle w:val="Paragraph"/>
        <w:tabs>
          <w:tab w:val="clear" w:pos="1440"/>
        </w:tabs>
        <w:spacing w:lineRule="auto" w:line="480"/>
        <w:rPr/>
      </w:pPr>
      <w:r>
        <w:rPr/>
        <w:t>Pursuant to the Order issued on November 15, 2001 by the Presiding Administrative Law Judge in the above-entitled proceeding, the Modesto Irrigation District (“MID”) hereby responds.</w:t>
      </w:r>
    </w:p>
    <w:p>
      <w:pPr>
        <w:pStyle w:val="Normal"/>
        <w:spacing w:lineRule="auto" w:line="480"/>
        <w:ind w:firstLine="1440" w:end="0"/>
        <w:rPr/>
      </w:pPr>
      <w:r>
        <w:rPr/>
        <w:t>MID filed Responsive Testimony on November 6, 2001.  First, MID states that it submitted no information or data under confidential seal as part of that Responsive Testimony pertaining to MID’s heat rates and calculation of the Mitigated Market Clearing Price (“MMCP”).</w:t>
      </w:r>
    </w:p>
    <w:p>
      <w:pPr>
        <w:pStyle w:val="Normal"/>
        <w:spacing w:lineRule="auto" w:line="480"/>
        <w:ind w:firstLine="1440" w:end="0"/>
        <w:rPr/>
      </w:pPr>
      <w:r>
        <w:rPr/>
        <w:t xml:space="preserve">Exhibit Nos. MID-3, MID-4, MID-5 and MID-6 submitted in MID’s November 6, 2001, Responsive Testimony were comprised of Protected Materials filed under seal.  MID believes Exhibit Nos. MID-3, MID-4, MID-5 and MID-6 contain information that is otherwise eligible for continued confidentiality under the Protective Order issued in this proceeding on August 7, 2001.  </w:t>
      </w:r>
    </w:p>
    <w:p>
      <w:pPr>
        <w:pStyle w:val="Normal"/>
        <w:spacing w:lineRule="auto" w:line="480"/>
        <w:ind w:firstLine="1440" w:end="0"/>
        <w:rPr/>
      </w:pPr>
      <w:r>
        <w:rPr/>
        <w:t xml:space="preserve">Exhibit Nos. MID-3, MID-4, MID-5 and MID-6 are a series of spreadsheets that list the transactions that MID made to the California Independent System Operator Corporation (“CAISO”) pursuant to Orders issued by the United States Department of Energy (“DOE”) for the periods for which MID submits that the DOE Orders were in effect.  Exhibit Nos. MID-3, MID-4, MID-5 and MID-6 each contain information revealing the date, operating hour, interchange, unit dispatched and quantity of sales transacted by MID during period the DOE Orders were in effect.  They contain market sensitive information, including sales data which would reveal MID’s sales strategy to competitors.  Making this information public would cause adverse and irreparable harm to MID. </w:t>
      </w:r>
      <w:r>
        <w:br w:type="page"/>
      </w:r>
    </w:p>
    <w:p>
      <w:pPr>
        <w:pStyle w:val="Normal"/>
        <w:spacing w:lineRule="auto" w:line="480"/>
        <w:ind w:firstLine="1440" w:end="0"/>
        <w:rPr/>
      </w:pPr>
      <w:r>
        <w:rPr/>
      </w:r>
    </w:p>
    <w:p>
      <w:pPr>
        <w:pStyle w:val="Normal"/>
        <w:spacing w:lineRule="auto" w:line="480"/>
        <w:ind w:firstLine="1440" w:end="0"/>
        <w:rPr/>
      </w:pPr>
      <w:r>
        <w:rPr/>
        <w:t>For the above reasons, MID respectfully requests that Exhibit Nos. MID-3, MID-4, MID-5 and MID-6 remain under confidential seal as Protected Materials in this proceeding.</w:t>
      </w:r>
    </w:p>
    <w:p>
      <w:pPr>
        <w:pStyle w:val="Pleadingparagraph"/>
        <w:tabs>
          <w:tab w:val="clear" w:pos="720"/>
          <w:tab w:val="left" w:pos="4320" w:leader="none"/>
        </w:tabs>
        <w:spacing w:lineRule="auto" w:line="240"/>
        <w:rPr/>
      </w:pPr>
      <w:r>
        <w:rPr/>
        <w:t>Date: November 21, 2001</w:t>
        <w:tab/>
        <w:t xml:space="preserve">Respectfully Submitted, </w:t>
      </w:r>
    </w:p>
    <w:p>
      <w:pPr>
        <w:pStyle w:val="Pleadingparagraph"/>
        <w:tabs>
          <w:tab w:val="clear" w:pos="720"/>
          <w:tab w:val="left" w:pos="5040" w:leader="none"/>
        </w:tabs>
        <w:spacing w:lineRule="auto" w:line="240"/>
        <w:rPr/>
      </w:pPr>
      <w:r>
        <w:rPr/>
      </w:r>
    </w:p>
    <w:p>
      <w:pPr>
        <w:pStyle w:val="Pleadingparagraph"/>
        <w:tabs>
          <w:tab w:val="clear" w:pos="720"/>
          <w:tab w:val="left" w:pos="5040" w:leader="none"/>
        </w:tabs>
        <w:spacing w:lineRule="auto" w:line="24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Wallace L. Duncan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Richmond F. Allan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Michael Postar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Lisa S. Gast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Sean M. Neal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Peter J. Scanlon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smallCaps/>
        </w:rPr>
      </w:pPr>
      <w:r>
        <w:rPr>
          <w:smallCaps/>
        </w:rPr>
        <w:t>Duncan, Weinberg, Genzer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smallCaps/>
        </w:rPr>
        <w:t xml:space="preserve">  </w:t>
      </w:r>
      <w:r>
        <w:rPr>
          <w:smallCaps/>
        </w:rPr>
        <w:t>&amp; Pembroke</w:t>
      </w:r>
      <w:r>
        <w:rPr/>
        <w:t>, P.C.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1615 M Street,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Suite 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Washington, D.C.  20036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pPr>
      <w:r>
        <w:rPr/>
        <w:t>(202) 467-6370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firstLine="4320" w:end="0"/>
        <w:rPr/>
      </w:pPr>
      <w:r>
        <w:rPr/>
        <w:t>Attorneys for the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firstLine="4320" w:end="0"/>
        <w:rPr/>
      </w:pPr>
      <w:r>
        <w:rPr/>
        <w:t xml:space="preserve">   </w:t>
      </w:r>
      <w:r>
        <w:rPr/>
        <w:t>Modesto Irrigation District</w:t>
      </w:r>
    </w:p>
    <w:sectPr>
      <w:headerReference w:type="default" r:id="rId2"/>
      <w:headerReference w:type="first" r:id="rId3"/>
      <w:type w:val="nextPage"/>
      <w:pgSz w:w="12240" w:h="15840"/>
      <w:pgMar w:left="216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04"/>
        </w:tabs>
        <w:ind w:start="0" w:firstLine="144"/>
      </w:pPr>
      <w:rPr>
        <w:sz w:val="24"/>
        <w:i w:val="fals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320" w:leader="none"/>
      </w:tabs>
      <w:ind w:hanging="0" w:start="270" w:end="0"/>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qFormat/>
    <w:rPr>
      <w:sz w:val="28"/>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eadingparagraph">
    <w:name w:val="Pleading paragraph"/>
    <w:basedOn w:val="Normal"/>
    <w:qFormat/>
    <w:pPr>
      <w:spacing w:lineRule="atLeast" w:line="480"/>
    </w:pPr>
    <w:rPr/>
  </w:style>
  <w:style w:type="paragraph" w:styleId="pleadingparagraph1">
    <w:name w:val="pleading paragraph1"/>
    <w:basedOn w:val="Normal"/>
    <w:qFormat/>
    <w:pPr>
      <w:numPr>
        <w:ilvl w:val="0"/>
        <w:numId w:val="2"/>
      </w:numPr>
      <w:spacing w:lineRule="atLeast" w:line="480"/>
    </w:pPr>
    <w:rPr/>
  </w:style>
  <w:style w:type="paragraph" w:styleId="FootnoteText">
    <w:name w:val="footnote text"/>
    <w:basedOn w:val="Normal"/>
    <w:pPr/>
    <w:rPr>
      <w:sz w:val="22"/>
    </w:rPr>
  </w:style>
  <w:style w:type="paragraph" w:styleId="Paragraph">
    <w:name w:val="Paragraph"/>
    <w:basedOn w:val="Pleadingparagraph"/>
    <w:next w:val="Normal"/>
    <w:qFormat/>
    <w:pPr>
      <w:tabs>
        <w:tab w:val="clear" w:pos="720"/>
        <w:tab w:val="left" w:pos="1440" w:leader="none"/>
      </w:tabs>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2001-11-19T20:24:00Z</dcterms:created>
  <dc:creator>Diana Mahmud</dc:creator>
  <dc:description/>
  <dc:language>en-CA</dc:language>
  <cp:lastModifiedBy>13W5J01</cp:lastModifiedBy>
  <cp:lastPrinted>2001-11-21T11:19:00Z</cp:lastPrinted>
  <dcterms:modified xsi:type="dcterms:W3CDTF">2001-11-21T13:51:00Z</dcterms:modified>
  <cp:revision>13</cp:revision>
  <dc:subject/>
  <dc:title>UNITED STATES OF AMERICA</dc:title>
</cp:coreProperties>
</file>