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900" w:leader="none"/>
        </w:tabs>
        <w:rPr/>
      </w:pPr>
      <w:r>
        <w:rPr/>
        <w:drawing>
          <wp:inline distT="0" distB="0" distL="0" distR="0">
            <wp:extent cx="2027555" cy="579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50" r="-8" b="-50"/>
                    <a:stretch>
                      <a:fillRect/>
                    </a:stretch>
                  </pic:blipFill>
                  <pic:spPr bwMode="auto">
                    <a:xfrm>
                      <a:off x="0" y="0"/>
                      <a:ext cx="2027555" cy="57975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7">
                <wp:simplePos x="0" y="0"/>
                <wp:positionH relativeFrom="column">
                  <wp:posOffset>2169160</wp:posOffset>
                </wp:positionH>
                <wp:positionV relativeFrom="paragraph">
                  <wp:posOffset>-116205</wp:posOffset>
                </wp:positionV>
                <wp:extent cx="4074795" cy="782955"/>
                <wp:effectExtent l="0" t="0" r="0" b="0"/>
                <wp:wrapNone/>
                <wp:docPr id="2" name="Frame1"/>
                <a:graphic xmlns:a="http://schemas.openxmlformats.org/drawingml/2006/main">
                  <a:graphicData uri="http://schemas.microsoft.com/office/word/2010/wordprocessingShape">
                    <wps:wsp>
                      <wps:cNvSpPr txBox="1"/>
                      <wps:spPr>
                        <a:xfrm>
                          <a:off x="0" y="0"/>
                          <a:ext cx="4074795" cy="782955"/>
                        </a:xfrm>
                        <a:prstGeom prst="rect"/>
                        <a:solidFill>
                          <a:srgbClr val="FFFFFF">
                            <a:alpha val="0"/>
                          </a:srgbClr>
                        </a:solidFill>
                        <a:ln w="25400">
                          <a:solidFill>
                            <a:srgbClr val="FFFFFF"/>
                          </a:solidFill>
                        </a:ln>
                      </wps:spPr>
                      <wps:txbx>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20.85pt;height:61.65pt;mso-wrap-distance-left:9.05pt;mso-wrap-distance-right:9.05pt;mso-wrap-distance-top:0pt;mso-wrap-distance-bottom:0pt;margin-top:-9.15pt;mso-position-vertical-relative:text;margin-left:170.8pt;mso-position-horizontal-relative:text">
                <v:fill opacity="0f"/>
                <v:textbox inset="0.0138888888888889in,0.0138888888888889in,0.0138888888888889in,0.0138888888888889in">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v:textbox>
                <w10:wrap type="none"/>
              </v:rect>
            </w:pict>
          </mc:Fallback>
        </mc:AlternateContent>
      </w:r>
    </w:p>
    <w:p>
      <w:pPr>
        <w:pStyle w:val="Normal"/>
        <w:tabs>
          <w:tab w:val="clear" w:pos="720"/>
          <w:tab w:val="right" w:pos="9900" w:leader="none"/>
        </w:tabs>
        <w:rPr/>
      </w:pPr>
      <w:r>
        <w:rPr/>
      </w:r>
    </w:p>
    <w:p>
      <w:pPr>
        <w:pStyle w:val="Normal"/>
        <w:tabs>
          <w:tab w:val="clear" w:pos="720"/>
          <w:tab w:val="right" w:pos="9900" w:leader="none"/>
        </w:tabs>
        <w:rPr>
          <w:lang w:val="en-CA" w:eastAsia="en-CA"/>
        </w:rPr>
      </w:pPr>
      <w:r>
        <w:rPr>
          <w:lang w:val="en-CA" w:eastAsia="en-CA"/>
        </w:rP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-4445</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0.35pt" to="496.8pt,-0.35pt" stroked="t" o:allowincell="f" style="position:absolute">
                <v:stroke color="black" weight="25560" joinstyle="miter" endcap="flat"/>
                <v:fill o:detectmouseclick="t" on="false"/>
                <w10:wrap type="none"/>
              </v:line>
            </w:pict>
          </mc:Fallback>
        </mc:AlternateContent>
      </w:r>
    </w:p>
    <w:p>
      <w:pPr>
        <w:pStyle w:val="Normal"/>
        <w:tabs>
          <w:tab w:val="clear" w:pos="720"/>
          <w:tab w:val="right" w:pos="9900" w:leader="none"/>
        </w:tabs>
        <w:jc w:val="center"/>
        <w:rPr>
          <w:rFonts w:ascii="Antique Olive" w:hAnsi="Antique Olive" w:cs="Antique Olive"/>
          <w:b/>
          <w:sz w:val="22"/>
        </w:rPr>
      </w:pPr>
      <w:r>
        <w:rPr>
          <w:rFonts w:cs="Arial" w:ascii="Arial" w:hAnsi="Arial"/>
          <w:b/>
          <w:sz w:val="72"/>
        </w:rPr>
        <w:t>M</w:t>
      </w:r>
      <w:r>
        <w:rPr>
          <w:rFonts w:cs="Arial" w:ascii="Arial" w:hAnsi="Arial"/>
          <w:b/>
          <w:sz w:val="48"/>
        </w:rPr>
        <w:t>ID</w:t>
      </w:r>
      <w:r>
        <w:rPr>
          <w:rFonts w:cs="Arial" w:ascii="Arial" w:hAnsi="Arial"/>
          <w:b/>
          <w:sz w:val="72"/>
        </w:rPr>
        <w:t>-C</w:t>
      </w:r>
      <w:r>
        <w:rPr>
          <w:rFonts w:cs="Arial" w:ascii="Arial" w:hAnsi="Arial"/>
          <w:b/>
          <w:sz w:val="48"/>
        </w:rPr>
        <w:t>OLUMBIA</w:t>
      </w:r>
    </w:p>
    <w:p>
      <w:pPr>
        <w:pStyle w:val="Norma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jc w:val="both"/>
        <w:rPr>
          <w:rFonts w:ascii="Arial" w:hAnsi="Arial" w:cs="Arial"/>
          <w:sz w:val="22"/>
        </w:rPr>
      </w:pPr>
      <w:r>
        <w:rPr>
          <w:rFonts w:cs="Arial" w:ascii="Arial" w:hAnsi="Arial"/>
          <w:sz w:val="22"/>
        </w:rPr>
        <w:t>The Dow Jones Mid-Columbia Electricity Price Indexes are volume weighted averages of specifically defined bilateral, wholesale, physical transactions. Calculations for these indexes average together power transactions from Columbia, Midway, Rocky Reach, Wells, and Wanapum/Vantage, delivery points along the Columbia River.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Index participants provide Dow Jones with their daily volume weighted average prices and total volumes for eligible electricity products sold at the Mid-Columbia delivery points, as well as with any purchases made from entities not contributing to the indexes.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Participants are asked to provide Dow Jones with daily index data by 10 a</w:t>
      </w:r>
      <w:del w:id="0" w:author="Telerate" w:date="1997-04-03T17:24:00Z">
        <w:r>
          <w:rPr>
            <w:rFonts w:cs="Arial" w:ascii="Arial" w:hAnsi="Arial"/>
            <w:sz w:val="24"/>
          </w:rPr>
          <w:delText>m,</w:delText>
        </w:r>
      </w:del>
      <w:ins w:id="1" w:author="Telerate" w:date="1997-04-03T17:24:00Z">
        <w:r>
          <w:rPr>
            <w:rFonts w:cs="Arial" w:ascii="Arial" w:hAnsi="Arial"/>
            <w:sz w:val="22"/>
          </w:rPr>
          <w:t>.m.</w:t>
        </w:r>
      </w:ins>
      <w:r>
        <w:rPr>
          <w:rFonts w:cs="Arial" w:ascii="Arial" w:hAnsi="Arial"/>
          <w:sz w:val="22"/>
        </w:rPr>
        <w:t xml:space="preserve"> Pacific </w:t>
      </w:r>
      <w:del w:id="2" w:author="Telerate" w:date="1997-04-03T17:24:00Z">
        <w:r>
          <w:rPr>
            <w:rFonts w:cs="Arial" w:ascii="Arial" w:hAnsi="Arial"/>
            <w:sz w:val="24"/>
          </w:rPr>
          <w:delText>T</w:delText>
        </w:r>
      </w:del>
      <w:r>
        <w:rPr>
          <w:rFonts w:cs="Arial" w:ascii="Arial" w:hAnsi="Arial"/>
          <w:sz w:val="22"/>
        </w:rPr>
        <w:t>Time, the day after the transacted power moves. Although some Mid-Columbia electricity indexes will be calculated for 365 days of the year, publication will occur only on business days. If a holiday falls during the week, data should be transmitted to Dow Jones on the first business day following a break.</w:t>
      </w:r>
      <w:r>
        <mc:AlternateContent>
          <mc:Choice Requires="wps">
            <w:drawing>
              <wp:anchor behindDoc="1" distT="0" distB="0" distL="114935" distR="114935" simplePos="0" locked="0" layoutInCell="1" allowOverlap="1" relativeHeight="5">
                <wp:simplePos x="0" y="0"/>
                <wp:positionH relativeFrom="column">
                  <wp:posOffset>1828800</wp:posOffset>
                </wp:positionH>
                <wp:positionV relativeFrom="paragraph">
                  <wp:posOffset>360045</wp:posOffset>
                </wp:positionV>
                <wp:extent cx="2526030" cy="2972435"/>
                <wp:effectExtent l="0" t="0" r="0" b="0"/>
                <wp:wrapNone/>
                <wp:docPr id="4" name="Frame2"/>
                <a:graphic xmlns:a="http://schemas.openxmlformats.org/drawingml/2006/main">
                  <a:graphicData uri="http://schemas.microsoft.com/office/word/2010/wordprocessingShape">
                    <wps:wsp>
                      <wps:cNvSpPr txBox="1"/>
                      <wps:spPr>
                        <a:xfrm>
                          <a:off x="0" y="0"/>
                          <a:ext cx="2526030" cy="2972435"/>
                        </a:xfrm>
                        <a:prstGeom prst="rect"/>
                        <a:solidFill>
                          <a:srgbClr val="FFFFFF">
                            <a:alpha val="0"/>
                          </a:srgbClr>
                        </a:solidFill>
                      </wps:spPr>
                      <wps:txbx>
                        <w:txbxContent>
                          <w:p>
                            <w:pPr>
                              <w:pStyle w:val="Normal"/>
                              <w:rPr/>
                            </w:pPr>
                            <w:r>
                              <w:rPr/>
                              <w:object w:dxaOrig="2324" w:dyaOrig="193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98.75pt;height:234.1pt" filled="f" o:ole="">
                                  <v:imagedata r:id="rId4" o:title=""/>
                                </v:shape>
                                <o:OLEObject Type="Embed" ProgID="" ShapeID="ole_rId3" DrawAspect="Content" ObjectID="_300703367" r:id="rId3"/>
                              </w:object>
                            </w:r>
                          </w:p>
                        </w:txbxContent>
                      </wps:txbx>
                      <wps:bodyPr anchor="t" lIns="13335" tIns="13335" rIns="13335" bIns="13335">
                        <a:noAutofit/>
                      </wps:bodyPr>
                    </wps:wsp>
                  </a:graphicData>
                </a:graphic>
              </wp:anchor>
            </w:drawing>
          </mc:Choice>
          <mc:Fallback>
            <w:pict>
              <v:rect fillcolor="#FFFFFF" style="position:absolute;rotation:-0;width:198.9pt;height:234.05pt;mso-wrap-distance-left:9.05pt;mso-wrap-distance-right:9.05pt;mso-wrap-distance-top:0pt;mso-wrap-distance-bottom:0pt;margin-top:28.35pt;mso-position-vertical-relative:text;margin-left:144pt;mso-position-horizontal-relative:text">
                <v:fill opacity="0f"/>
                <v:textbox inset="0.0145833333333333in,0.0145833333333333in,0.0145833333333333in,0.0145833333333333in">
                  <w:txbxContent>
                    <w:p>
                      <w:pPr>
                        <w:pStyle w:val="Normal"/>
                        <w:rPr/>
                      </w:pPr>
                      <w:r>
                        <w:rPr/>
                        <w:object w:dxaOrig="2324" w:dyaOrig="193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98.75pt;height:234.1pt" filled="f" o:ole="">
                            <v:imagedata r:id="rId6" o:title=""/>
                          </v:shape>
                          <o:OLEObject Type="Embed" ProgID="" ShapeID="ole_rId5" DrawAspect="Content" ObjectID="_1372050823" r:id="rId5"/>
                        </w:object>
                      </w:r>
                    </w:p>
                  </w:txbxContent>
                </v:textbox>
                <w10:wrap type="none"/>
              </v:rect>
            </w:pict>
          </mc:Fallback>
        </mc:AlternateContent>
      </w:r>
    </w:p>
    <w:p>
      <w:pPr>
        <w:pStyle w:val="Normal"/>
        <w:jc w:val="both"/>
        <w:rPr>
          <w:rFonts w:ascii="Antique Olive" w:hAnsi="Antique Olive" w:cs="Antique Olive"/>
          <w:sz w:val="44"/>
        </w:rPr>
      </w:pPr>
      <w:r>
        <w:rPr>
          <w:rFonts w:cs="Antique Olive" w:ascii="Antique Olive" w:hAnsi="Antique Olive"/>
          <w:sz w:val="44"/>
        </w:rPr>
      </w:r>
    </w:p>
    <w:tbl>
      <w:tblPr>
        <w:tblW w:w="9828" w:type="dxa"/>
        <w:jc w:val="start"/>
        <w:tblInd w:w="0" w:type="dxa"/>
        <w:tblLayout w:type="fixed"/>
        <w:tblCellMar>
          <w:top w:w="0" w:type="dxa"/>
          <w:start w:w="108" w:type="dxa"/>
          <w:bottom w:w="0" w:type="dxa"/>
          <w:end w:w="108" w:type="dxa"/>
        </w:tblCellMar>
      </w:tblPr>
      <w:tblGrid>
        <w:gridCol w:w="3078"/>
        <w:gridCol w:w="3780"/>
        <w:gridCol w:w="2970"/>
      </w:tblGrid>
      <w:tr>
        <w:trPr/>
        <w:tc>
          <w:tcPr>
            <w:tcW w:w="3078"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c>
          <w:tcPr>
            <w:tcW w:w="378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CATEGORIES</w:t>
            </w:r>
          </w:p>
        </w:tc>
        <w:tc>
          <w:tcPr>
            <w:tcW w:w="2970"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tabs>
          <w:tab w:val="clear" w:pos="720"/>
          <w:tab w:val="right" w:pos="9900" w:leader="none"/>
        </w:tabs>
        <w:jc w:val="center"/>
        <w:rPr>
          <w:rFonts w:ascii="Antique Olive" w:hAnsi="Antique Olive" w:cs="Antique Olive"/>
          <w:sz w:val="24"/>
        </w:rPr>
      </w:pPr>
      <w:r>
        <w:rPr>
          <w:rFonts w:cs="Antique Olive" w:ascii="Antique Olive" w:hAnsi="Antique Olive"/>
          <w:sz w:val="24"/>
        </w:rPr>
      </w:r>
    </w:p>
    <w:tbl>
      <w:tblPr>
        <w:tblW w:w="9828" w:type="dxa"/>
        <w:jc w:val="start"/>
        <w:tblInd w:w="0" w:type="dxa"/>
        <w:tblLayout w:type="fixed"/>
        <w:tblCellMar>
          <w:top w:w="0" w:type="dxa"/>
          <w:start w:w="108" w:type="dxa"/>
          <w:bottom w:w="0" w:type="dxa"/>
          <w:end w:w="108" w:type="dxa"/>
        </w:tblCellMar>
      </w:tblPr>
      <w:tblGrid>
        <w:gridCol w:w="1728"/>
        <w:gridCol w:w="1620"/>
        <w:gridCol w:w="1751"/>
        <w:gridCol w:w="1399"/>
        <w:gridCol w:w="2250"/>
        <w:gridCol w:w="1079"/>
        <w:gridCol w:w="1"/>
      </w:tblGrid>
      <w:tr>
        <w:trPr/>
        <w:tc>
          <w:tcPr>
            <w:tcW w:w="1728"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6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DAILY</w:t>
            </w:r>
          </w:p>
          <w:p>
            <w:pPr>
              <w:pStyle w:val="Normal"/>
              <w:tabs>
                <w:tab w:val="clear" w:pos="720"/>
                <w:tab w:val="right" w:pos="9900" w:leader="none"/>
              </w:tabs>
              <w:jc w:val="center"/>
              <w:rPr>
                <w:rFonts w:ascii="Arial" w:hAnsi="Arial" w:cs="Arial"/>
                <w:sz w:val="24"/>
              </w:rPr>
            </w:pPr>
            <w:r>
              <w:rPr>
                <w:rFonts w:cs="Arial" w:ascii="Arial" w:hAnsi="Arial"/>
                <w:sz w:val="24"/>
              </w:rPr>
            </w:r>
          </w:p>
        </w:tc>
        <w:tc>
          <w:tcPr>
            <w:tcW w:w="1751"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399"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225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SUNDAY AND NERC HOLIDAYS</w:t>
            </w:r>
          </w:p>
        </w:tc>
        <w:tc>
          <w:tcPr>
            <w:tcW w:w="1079"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c>
          <w:tcPr>
            <w:tcW w:w="4729"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On-peak</w:t>
            </w:r>
          </w:p>
        </w:tc>
        <w:tc>
          <w:tcPr>
            <w:tcW w:w="472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24-Hour Firm</w:t>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Off-peak</w:t>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rHeight w:val="154" w:hRule="atLeast"/>
        </w:trPr>
        <w:tc>
          <w:tcPr>
            <w:tcW w:w="509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Non-Firm On-peak</w:t>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Non-Firm Off-peak</w:t>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bl>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Firm Daily Indexes:</w:t>
      </w:r>
      <w:r>
        <w:rPr>
          <w:rFonts w:cs="Arial" w:ascii="Arial" w:hAnsi="Arial"/>
          <w:sz w:val="22"/>
        </w:rPr>
        <w:t xml:space="preserve"> </w:t>
      </w:r>
      <w:r>
        <w:rPr>
          <w:rFonts w:cs="Arial" w:ascii="Arial" w:hAnsi="Arial"/>
          <w:sz w:val="22"/>
          <w:u w:val="single"/>
        </w:rPr>
        <w:t>The firm daily indexes average together blocks of power</w:t>
      </w:r>
      <w:r>
        <w:rPr>
          <w:rFonts w:cs="Arial" w:ascii="Arial" w:hAnsi="Arial"/>
          <w:sz w:val="22"/>
        </w:rPr>
        <w:t xml:space="preserve"> sold on a one-day forward pre-scheduled basis. </w:t>
      </w:r>
      <w:r>
        <w:rPr>
          <w:rFonts w:cs="Arial" w:ascii="Arial" w:hAnsi="Arial"/>
          <w:sz w:val="22"/>
          <w:u w:val="single"/>
        </w:rPr>
        <w:t>No real-time power is included in these indexes</w:t>
      </w:r>
      <w:r>
        <w:rPr>
          <w:rFonts w:cs="Arial" w:ascii="Arial" w:hAnsi="Arial"/>
          <w:sz w:val="22"/>
        </w:rPr>
        <w:t>. Transactions are limited to power traded in 16-hour blocks during on-peak hours and 8-hour blocks for off-peak. Transactions which call for delivery for more than one day are not included in calculations for these indexes. Volume should be reported to Dow Jones as total megawatts transacted per hour.</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Sunday and NERC Holidays Index:</w:t>
      </w:r>
      <w:r>
        <w:rPr>
          <w:rFonts w:cs="Arial" w:ascii="Arial" w:hAnsi="Arial"/>
          <w:sz w:val="22"/>
        </w:rPr>
        <w:t xml:space="preserve"> A 24-hour firm index will be published for Sundays and NERC holidays. Transactions included in this index are limited to power traded in 24-hour pre-scheduled blocks.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Non-firm Daily Indexes</w:t>
      </w:r>
      <w:r>
        <w:rPr>
          <w:rFonts w:cs="Antique Olive" w:ascii="Antique Olive" w:hAnsi="Antique Olive"/>
          <w:b/>
          <w:sz w:val="22"/>
        </w:rPr>
        <w:t xml:space="preserve">:  </w:t>
      </w:r>
      <w:r>
        <w:rPr>
          <w:rFonts w:cs="Arial" w:ascii="Arial" w:hAnsi="Arial"/>
          <w:sz w:val="22"/>
          <w:u w:val="single"/>
        </w:rPr>
        <w:t>The non-firm indexes combine one day ahead pre-scheduled transactions with real-time transactions</w:t>
      </w:r>
      <w:r>
        <w:rPr>
          <w:rFonts w:cs="Arial" w:ascii="Arial" w:hAnsi="Arial"/>
          <w:sz w:val="22"/>
        </w:rPr>
        <w:t xml:space="preserve">. The non-firm indexes follow the same convention as the firm indexes with respect to single day delivery. Volumes reported for these indexes should reflect the total number of MWh transacted for the entire ON- or OFF-PEAK reporting period.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rFonts w:ascii="Arial" w:hAnsi="Arial" w:cs="Arial"/>
          <w:b/>
          <w:sz w:val="22"/>
        </w:rPr>
      </w:pPr>
      <w:r>
        <w:rPr>
          <w:rFonts w:cs="Arial" w:ascii="Arial" w:hAnsi="Arial"/>
          <w:b/>
          <w:sz w:val="22"/>
        </w:rPr>
      </w:r>
    </w:p>
    <w:tbl>
      <w:tblPr>
        <w:tblW w:w="9828" w:type="dxa"/>
        <w:jc w:val="start"/>
        <w:tblInd w:w="0" w:type="dxa"/>
        <w:tblLayout w:type="fixed"/>
        <w:tblCellMar>
          <w:top w:w="0" w:type="dxa"/>
          <w:start w:w="108" w:type="dxa"/>
          <w:bottom w:w="0" w:type="dxa"/>
          <w:end w:w="108" w:type="dxa"/>
        </w:tblCellMar>
      </w:tblPr>
      <w:tblGrid>
        <w:gridCol w:w="3528"/>
        <w:gridCol w:w="2790"/>
        <w:gridCol w:w="3510"/>
      </w:tblGrid>
      <w:tr>
        <w:trPr>
          <w:trHeight w:val="385" w:hRule="atLeast"/>
        </w:trPr>
        <w:tc>
          <w:tcPr>
            <w:tcW w:w="352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79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510"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0700 - 2200 (6 a.m. - 10 p.m.) Pacific Time at Mid-Columbia, seven (7) days a week </w:t>
      </w:r>
      <w:r>
        <w:rPr>
          <w:rFonts w:cs="Arial" w:ascii="Arial" w:hAnsi="Arial"/>
          <w:sz w:val="22"/>
          <w:u w:val="single"/>
        </w:rPr>
        <w:t>including</w:t>
      </w:r>
      <w:r>
        <w:rPr>
          <w:rFonts w:cs="Arial" w:ascii="Arial" w:hAnsi="Arial"/>
          <w:sz w:val="22"/>
        </w:rPr>
        <w:t xml:space="preserve"> NERC holidays.</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2300 - 0600 (10 p.m. - 6 a.m.) Pacific Time at Mid-Columbia, seven (7) days a week </w:t>
      </w:r>
      <w:r>
        <w:rPr>
          <w:rFonts w:cs="Arial" w:ascii="Arial" w:hAnsi="Arial"/>
          <w:sz w:val="22"/>
          <w:u w:val="single"/>
        </w:rPr>
        <w:t>including</w:t>
      </w:r>
      <w:r>
        <w:rPr>
          <w:rFonts w:cs="Arial" w:ascii="Arial" w:hAnsi="Arial"/>
          <w:sz w:val="22"/>
        </w:rPr>
        <w:t xml:space="preserve"> NERC holidays.</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meeting a minimum criteria of being financially firm and backed with liquidating damages.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rPr/>
      </w:pPr>
      <w:r>
        <w:rPr>
          <w:rFonts w:cs="Arial" w:ascii="Arial" w:hAnsi="Arial"/>
          <w:b/>
          <w:sz w:val="22"/>
        </w:rPr>
        <w:t>Non-firm Energy:</w:t>
      </w:r>
      <w:r>
        <w:rPr>
          <w:rFonts w:cs="Arial" w:ascii="Arial" w:hAnsi="Arial"/>
          <w:sz w:val="22"/>
        </w:rPr>
        <w:t xml:space="preserve">  Non-firm energy is defined as being subject to interruption at any time for any reason. </w:t>
      </w:r>
      <w:r>
        <w:rPr>
          <w:rFonts w:cs="Arial" w:ascii="Arial" w:hAnsi="Arial"/>
          <w:sz w:val="22"/>
          <w:u w:val="single"/>
        </w:rPr>
        <w:t>Any recall provision would be for less than one hour from the scheduled start of service</w:t>
      </w:r>
      <w:r>
        <w:rPr>
          <w:rFonts w:cs="Arial" w:ascii="Arial" w:hAnsi="Arial"/>
          <w:sz w:val="22"/>
        </w:rPr>
        <w:t>.</w:t>
      </w:r>
    </w:p>
    <w:p>
      <w:pPr>
        <w:pStyle w:val="Normal"/>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sz w:val="22"/>
          <w:u w:val="single"/>
        </w:rPr>
        <w:t>NOTE</w:t>
      </w:r>
      <w:r>
        <w:rPr>
          <w:rFonts w:cs="Arial" w:ascii="Arial" w:hAnsi="Arial"/>
          <w:sz w:val="22"/>
        </w:rPr>
        <w:t>:  Power conforming to any other measures of “firmness” should not be included in the Mid-Columbia indexes.</w:t>
      </w:r>
    </w:p>
    <w:p>
      <w:pPr>
        <w:pStyle w:val="Normal"/>
        <w:rPr>
          <w:rFonts w:ascii="Arial" w:hAnsi="Arial" w:cs="Arial"/>
          <w:sz w:val="22"/>
        </w:rPr>
      </w:pPr>
      <w:r>
        <w:rPr>
          <w:rFonts w:cs="Arial" w:ascii="Arial" w:hAnsi="Arial"/>
          <w:sz w:val="22"/>
        </w:rPr>
      </w:r>
    </w:p>
    <w:p>
      <w:pPr>
        <w:pStyle w:val="Normal"/>
        <w:tabs>
          <w:tab w:val="clear" w:pos="720"/>
          <w:tab w:val="right" w:pos="9900" w:leader="none"/>
        </w:tabs>
        <w:rPr>
          <w:rFonts w:ascii="Arial" w:hAnsi="Arial" w:cs="Arial"/>
          <w:sz w:val="22"/>
        </w:rPr>
      </w:pPr>
      <w:r>
        <w:rPr>
          <w:rFonts w:cs="Arial" w:ascii="Arial" w:hAnsi="Arial"/>
          <w:sz w:val="22"/>
        </w:rPr>
      </w:r>
    </w:p>
    <w:tbl>
      <w:tblPr>
        <w:tblW w:w="9828" w:type="dxa"/>
        <w:jc w:val="start"/>
        <w:tblInd w:w="0" w:type="dxa"/>
        <w:tblLayout w:type="fixed"/>
        <w:tblCellMar>
          <w:top w:w="0" w:type="dxa"/>
          <w:start w:w="108" w:type="dxa"/>
          <w:bottom w:w="0" w:type="dxa"/>
          <w:end w:w="108" w:type="dxa"/>
        </w:tblCellMar>
      </w:tblPr>
      <w:tblGrid>
        <w:gridCol w:w="3528"/>
        <w:gridCol w:w="2790"/>
        <w:gridCol w:w="3510"/>
      </w:tblGrid>
      <w:tr>
        <w:trPr/>
        <w:tc>
          <w:tcPr>
            <w:tcW w:w="3528" w:type="dxa"/>
            <w:tcBorders/>
          </w:tcPr>
          <w:p>
            <w:pPr>
              <w:pStyle w:val="Normal"/>
              <w:tabs>
                <w:tab w:val="clear" w:pos="720"/>
                <w:tab w:val="right" w:pos="9900" w:leader="none"/>
              </w:tabs>
              <w:snapToGrid w:val="false"/>
              <w:rPr>
                <w:rFonts w:ascii="Arial" w:hAnsi="Arial" w:cs="Arial"/>
              </w:rPr>
            </w:pPr>
            <w:r>
              <w:rPr>
                <w:rFonts w:cs="Arial" w:ascii="Arial" w:hAnsi="Arial"/>
              </w:rPr>
            </w:r>
          </w:p>
        </w:tc>
        <w:tc>
          <w:tcPr>
            <w:tcW w:w="279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32"/>
              </w:rPr>
            </w:pPr>
            <w:r>
              <w:rPr>
                <w:rFonts w:cs="Arial" w:ascii="Arial" w:hAnsi="Arial"/>
                <w:b/>
                <w:sz w:val="28"/>
              </w:rPr>
              <w:t>INDEX DATES</w:t>
            </w:r>
          </w:p>
        </w:tc>
        <w:tc>
          <w:tcPr>
            <w:tcW w:w="3510" w:type="dxa"/>
            <w:tcBorders/>
          </w:tcPr>
          <w:p>
            <w:pPr>
              <w:pStyle w:val="Normal"/>
              <w:tabs>
                <w:tab w:val="clear" w:pos="720"/>
                <w:tab w:val="right" w:pos="9900" w:leader="none"/>
              </w:tabs>
              <w:snapToGrid w:val="false"/>
              <w:rPr>
                <w:rFonts w:ascii="Arial" w:hAnsi="Arial" w:cs="Arial"/>
                <w:sz w:val="32"/>
              </w:rPr>
            </w:pPr>
            <w:r>
              <w:rPr>
                <w:rFonts w:cs="Arial" w:ascii="Arial" w:hAnsi="Arial"/>
                <w:sz w:val="32"/>
              </w:rPr>
            </w:r>
          </w:p>
        </w:tc>
      </w:tr>
      <w:tr>
        <w:trPr/>
        <w:tc>
          <w:tcPr>
            <w:tcW w:w="3528"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c>
          <w:tcPr>
            <w:tcW w:w="2790" w:type="dxa"/>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3510" w:type="dxa"/>
            <w:tcBorders/>
          </w:tcPr>
          <w:p>
            <w:pPr>
              <w:pStyle w:val="Norma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Daily Indexes:</w:t>
      </w:r>
      <w:r>
        <w:rPr>
          <w:rFonts w:cs="Arial" w:ascii="Arial" w:hAnsi="Arial"/>
          <w:sz w:val="22"/>
        </w:rPr>
        <w:t xml:space="preserve"> INDEX DATE = POWER DELIVERY DATE</w:t>
      </w:r>
    </w:p>
    <w:p>
      <w:pPr>
        <w:pStyle w:val="Normal"/>
        <w:ind w:firstLine="360" w:end="0"/>
        <w:jc w:val="both"/>
        <w:rPr>
          <w:rFonts w:ascii="Arial" w:hAnsi="Arial" w:cs="Arial"/>
          <w:sz w:val="22"/>
          <w:lang w:val="en-CA"/>
        </w:rPr>
      </w:pPr>
      <w:r>
        <w:rPr>
          <w:rFonts w:cs="Arial" w:ascii="Arial" w:hAnsi="Arial"/>
          <w:sz w:val="22"/>
        </w:rPr>
        <w:t>The date on a daily index corresponds to the date the power is delivered. For example, Monday’s prescheduled transactions are combined with Tuesday’s real-time transactions to form Tuesday’s index.</w:t>
      </w:r>
    </w:p>
    <w:p>
      <w:pPr>
        <w:pStyle w:val="Normal"/>
        <w:ind w:firstLine="360" w:end="0"/>
        <w:jc w:val="both"/>
        <w:rPr>
          <w:rFonts w:ascii="Arial" w:hAnsi="Arial" w:cs="Arial"/>
          <w:sz w:val="22"/>
          <w:lang w:val="en-CA"/>
        </w:rPr>
      </w:pPr>
      <w:r>
        <w:rPr>
          <w:rFonts w:cs="Arial" w:ascii="Arial" w:hAnsi="Arial"/>
          <w:sz w:val="22"/>
          <w:lang w:val="en-CA"/>
        </w:rPr>
      </w:r>
    </w:p>
    <w:p>
      <w:pPr>
        <w:pStyle w:val="Normal"/>
        <w:numPr>
          <w:ilvl w:val="0"/>
          <w:numId w:val="2"/>
        </w:numPr>
        <w:jc w:val="both"/>
        <w:rPr>
          <w:rFonts w:ascii="Arial" w:hAnsi="Arial" w:cs="Arial"/>
          <w:b/>
          <w:sz w:val="22"/>
        </w:rPr>
      </w:pPr>
      <w:r>
        <w:rPr>
          <w:rFonts w:cs="Arial" w:ascii="Arial" w:hAnsi="Arial"/>
          <w:sz w:val="22"/>
        </w:rPr>
        <w:t xml:space="preserve">Both Mid-C FIRM daily indexes are calculated seven days a week, </w:t>
      </w:r>
      <w:r>
        <w:rPr>
          <w:rFonts w:cs="Arial" w:ascii="Arial" w:hAnsi="Arial"/>
          <w:sz w:val="22"/>
          <w:u w:val="single"/>
        </w:rPr>
        <w:t>including</w:t>
      </w:r>
      <w:r>
        <w:rPr>
          <w:rFonts w:cs="Arial" w:ascii="Arial" w:hAnsi="Arial"/>
          <w:sz w:val="22"/>
        </w:rPr>
        <w:t xml:space="preserve"> NERC holidays</w:t>
      </w:r>
    </w:p>
    <w:p>
      <w:pPr>
        <w:pStyle w:val="Normal"/>
        <w:jc w:val="both"/>
        <w:rPr>
          <w:rFonts w:ascii="Arial" w:hAnsi="Arial" w:cs="Arial"/>
          <w:b/>
          <w:sz w:val="22"/>
        </w:rPr>
      </w:pPr>
      <w:r>
        <w:rPr>
          <w:rFonts w:cs="Arial" w:ascii="Arial" w:hAnsi="Arial"/>
          <w:b/>
          <w:sz w:val="22"/>
        </w:rPr>
      </w:r>
    </w:p>
    <w:p>
      <w:pPr>
        <w:pStyle w:val="Normal"/>
        <w:numPr>
          <w:ilvl w:val="0"/>
          <w:numId w:val="2"/>
        </w:numPr>
        <w:jc w:val="both"/>
        <w:rPr>
          <w:rFonts w:ascii="Arial" w:hAnsi="Arial" w:cs="Arial"/>
          <w:sz w:val="22"/>
        </w:rPr>
      </w:pPr>
      <w:r>
        <w:rPr>
          <w:rFonts w:cs="Arial" w:ascii="Arial" w:hAnsi="Arial"/>
          <w:sz w:val="22"/>
        </w:rPr>
        <w:t xml:space="preserve">Both Mid-C NON-FIRM daily indexes are calculated seven days a week, </w:t>
      </w:r>
      <w:r>
        <w:rPr>
          <w:rFonts w:cs="Arial" w:ascii="Arial" w:hAnsi="Arial"/>
          <w:sz w:val="22"/>
          <w:u w:val="single"/>
        </w:rPr>
        <w:t>including</w:t>
      </w:r>
      <w:r>
        <w:rPr>
          <w:rFonts w:cs="Arial" w:ascii="Arial" w:hAnsi="Arial"/>
          <w:sz w:val="22"/>
        </w:rPr>
        <w:t xml:space="preserve"> NERC holidays</w:t>
      </w:r>
    </w:p>
    <w:p>
      <w:pPr>
        <w:pStyle w:val="Normal"/>
        <w:numPr>
          <w:ilvl w:val="0"/>
          <w:numId w:val="2"/>
        </w:numPr>
        <w:jc w:val="both"/>
        <w:rPr>
          <w:rFonts w:ascii="Arial" w:hAnsi="Arial" w:cs="Arial"/>
          <w:sz w:val="22"/>
        </w:rPr>
      </w:pPr>
      <w:r>
        <w:rPr>
          <w:rFonts w:cs="Arial" w:ascii="Arial" w:hAnsi="Arial"/>
          <w:sz w:val="22"/>
        </w:rPr>
        <w:t>The Mid-C 24-Hour FIRM index will be calculated for Sundays and NERC Holidays.</w:t>
      </w:r>
    </w:p>
    <w:p>
      <w:pPr>
        <w:pStyle w:val="Normal"/>
        <w:jc w:val="both"/>
        <w:rPr>
          <w:rFonts w:ascii="Arial" w:hAnsi="Arial" w:cs="Arial"/>
          <w:sz w:val="22"/>
        </w:rPr>
      </w:pPr>
      <w:r>
        <w:rPr>
          <w:rFonts w:cs="Arial" w:ascii="Arial" w:hAnsi="Arial"/>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rFonts w:ascii="Arial" w:hAnsi="Arial" w:cs="Arial"/>
          <w:i/>
          <w:i/>
        </w:rPr>
      </w:pPr>
      <w:r>
        <w:rPr>
          <w:rFonts w:cs="Arial" w:ascii="Arial" w:hAnsi="Arial"/>
          <w:i/>
        </w:rPr>
        <w:t xml:space="preserve">If you have any questions or if any information on this sheet is not expressed clearly, please call </w:t>
      </w:r>
    </w:p>
    <w:p>
      <w:pPr>
        <w:pStyle w:val="Normal"/>
        <w:jc w:val="both"/>
        <w:rPr>
          <w:rFonts w:ascii="Arial" w:hAnsi="Arial" w:cs="Arial"/>
          <w:i/>
          <w:i/>
        </w:rPr>
      </w:pPr>
      <w:r>
        <w:rPr>
          <w:rFonts w:cs="Arial" w:ascii="Arial" w:hAnsi="Arial"/>
          <w:i/>
        </w:rPr>
        <w:t xml:space="preserve">Antoine Eustache at (609) 520-7058 or Ernest Onukogu at (609) 520-4663. </w:t>
      </w:r>
    </w:p>
    <w:p>
      <w:pPr>
        <w:pStyle w:val="Normal"/>
        <w:jc w:val="both"/>
        <w:rPr>
          <w:rFonts w:ascii="Arial" w:hAnsi="Arial" w:cs="Arial"/>
          <w:b/>
          <w:i/>
          <w:i/>
        </w:rPr>
      </w:pPr>
      <w:r>
        <w:rPr>
          <w:rFonts w:cs="Arial" w:ascii="Arial" w:hAnsi="Arial"/>
          <w:b/>
          <w:i/>
        </w:rPr>
      </w:r>
    </w:p>
    <w:p>
      <w:pPr>
        <w:pStyle w:val="Normal"/>
        <w:jc w:val="both"/>
        <w:rPr/>
      </w:pPr>
      <w:r>
        <w:rPr>
          <w:rFonts w:cs="Arial" w:ascii="Arial" w:hAnsi="Arial"/>
          <w:b/>
          <w:i/>
        </w:rPr>
        <w:t>If you have not received this sheet directly from the News Product Development index group, please check with us to insure that you are working with a current definition.</w:t>
      </w:r>
      <w:r>
        <w:rPr>
          <w:sz w:val="24"/>
        </w:rPr>
        <w:tab/>
      </w:r>
    </w:p>
    <w:sectPr>
      <w:footerReference w:type="default" r:id="rId7"/>
      <w:type w:val="nextPage"/>
      <w:pgSz w:w="12240" w:h="15840"/>
      <w:pgMar w:left="1296" w:right="1296" w:gutter="0" w:header="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170" w:leader="none"/>
      </w:tabs>
      <w:ind w:start="-540" w:end="0"/>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/mnt/main-storage/datasets/enron-docs/doc/MID_C_def.doc</w:t>
    </w:r>
    <w:r>
      <w:rPr>
        <w:sz w:val="18"/>
        <w:rFonts w:cs="Arial" w:ascii="Arial" w:hAnsi="Arial"/>
      </w:rPr>
      <w:fldChar w:fldCharType="end"/>
    </w:r>
    <w:r>
      <w:rPr>
        <w:rFonts w:cs="Arial" w:ascii="Arial" w:hAnsi="Arial"/>
        <w:sz w:val="18"/>
      </w:rPr>
      <w:tab/>
      <w:tab/>
    </w:r>
    <w:r>
      <w:rPr>
        <w:rFonts w:cs="Arial" w:ascii="Arial" w:hAnsi="Arial"/>
        <w:b/>
        <w:sz w:val="18"/>
      </w:rPr>
      <w:t>Revised 10/13/1999</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7"/>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4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1999-11-04T15:15:00Z</dcterms:created>
  <dc:creator>Günther Pergher</dc:creator>
  <dc:description/>
  <dc:language>en-CA</dc:language>
  <cp:lastModifiedBy>OnukoguE</cp:lastModifiedBy>
  <cp:lastPrinted>1999-01-28T15:53:00Z</cp:lastPrinted>
  <dcterms:modified xsi:type="dcterms:W3CDTF">2001-01-29T14:46:00Z</dcterms:modified>
  <cp:revision>4</cp:revision>
  <dc:subject>Index Description</dc:subject>
  <dc:title>The Dow Jones Mid-C Electricity Price Indexes</dc:title>
</cp:coreProperties>
</file>