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-228600</wp:posOffset>
                </wp:positionH>
                <wp:positionV relativeFrom="paragraph">
                  <wp:posOffset>-91440</wp:posOffset>
                </wp:positionV>
                <wp:extent cx="4572000" cy="36576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657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8pt;margin-top:-7.2pt;width:359.95pt;height:28.75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b/>
        </w:rPr>
        <w:t>MG</w:t>
        <w:tab/>
        <w:t>Action Plan</w:t>
      </w:r>
      <w:r>
        <w:rPr/>
        <w:tab/>
        <w:tab/>
      </w:r>
      <w:r>
        <w:rPr>
          <w:i/>
        </w:rPr>
        <w:t>Updated 8/17/00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 xml:space="preserve">    </w:t>
      </w:r>
    </w:p>
    <w:p>
      <w:pPr>
        <w:pStyle w:val="Heading1"/>
        <w:ind w:hanging="0" w:start="0"/>
        <w:rPr/>
      </w:pPr>
      <w:r>
        <w:rPr/>
        <w:t>Legal Implications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With the knowledge that MG London is a Commodities Trading Advisor (CTA) and a</w:t>
        <w:tab/>
        <w:tab/>
        <w:tab/>
      </w:r>
    </w:p>
    <w:p>
      <w:pPr>
        <w:pStyle w:val="Normal"/>
        <w:rPr/>
      </w:pPr>
      <w:r>
        <w:rPr/>
        <w:t xml:space="preserve">    </w:t>
      </w:r>
      <w:r>
        <w:rPr/>
        <w:t>Futures Commissions Merchant (FCM), there are more regulatory and registration requirements</w:t>
      </w:r>
    </w:p>
    <w:p>
      <w:pPr>
        <w:pStyle w:val="Normal"/>
        <w:rPr/>
      </w:pPr>
      <w:r>
        <w:rPr/>
        <w:t xml:space="preserve">    </w:t>
      </w:r>
      <w:r>
        <w:rPr/>
        <w:t xml:space="preserve">set forth by the CFTC than previously expected. The implications for Enron Investments, LLC &amp; ENA </w:t>
      </w:r>
    </w:p>
    <w:p>
      <w:pPr>
        <w:pStyle w:val="Normal"/>
        <w:rPr/>
      </w:pPr>
      <w:r>
        <w:rPr/>
        <w:t xml:space="preserve">    </w:t>
      </w:r>
      <w:r>
        <w:rPr/>
        <w:t>would be expensive registration requirements.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  </w:t>
      </w:r>
      <w:r>
        <w:rPr>
          <w:b/>
        </w:rPr>
        <w:t xml:space="preserve">More decisions from Enron Corp need to be addressed before we are able to enter into a trading agreement </w:t>
      </w:r>
    </w:p>
    <w:p>
      <w:pPr>
        <w:pStyle w:val="Normal"/>
        <w:rPr>
          <w:b/>
        </w:rPr>
      </w:pPr>
      <w:r>
        <w:rPr>
          <w:b/>
        </w:rPr>
        <w:t xml:space="preserve">    </w:t>
      </w:r>
      <w:r>
        <w:rPr>
          <w:b/>
        </w:rPr>
        <w:t>with MG London.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2. Arrange a conference call with Andy Cornfield with Legal-London &amp; Mark Taylor</w:t>
        <w:tab/>
        <w:tab/>
        <w:tab/>
      </w:r>
    </w:p>
    <w:p>
      <w:pPr>
        <w:pStyle w:val="Normal"/>
        <w:rPr/>
      </w:pPr>
      <w:r>
        <w:rPr/>
        <w:t xml:space="preserve">    </w:t>
      </w:r>
      <w:r>
        <w:rPr/>
        <w:t>in Houston to:</w:t>
      </w:r>
    </w:p>
    <w:p>
      <w:pPr>
        <w:pStyle w:val="Normal"/>
        <w:numPr>
          <w:ilvl w:val="0"/>
          <w:numId w:val="4"/>
        </w:numPr>
        <w:rPr/>
      </w:pPr>
      <w:r>
        <w:rPr/>
        <w:t>Ensure all legal aspects have been finalized regarding acquisiton.</w:t>
        <w:tab/>
        <w:tab/>
        <w:tab/>
        <w:tab/>
      </w:r>
    </w:p>
    <w:p>
      <w:pPr>
        <w:pStyle w:val="Normal"/>
        <w:numPr>
          <w:ilvl w:val="0"/>
          <w:numId w:val="2"/>
        </w:numPr>
        <w:rPr/>
      </w:pPr>
      <w:r>
        <w:rPr/>
        <w:t>Is the acquisition complete?</w:t>
        <w:tab/>
        <w:tab/>
        <w:tab/>
        <w:tab/>
        <w:tab/>
        <w:tab/>
        <w:tab/>
      </w:r>
    </w:p>
    <w:p>
      <w:pPr>
        <w:pStyle w:val="Normal"/>
        <w:numPr>
          <w:ilvl w:val="0"/>
          <w:numId w:val="4"/>
        </w:numPr>
        <w:rPr/>
      </w:pPr>
      <w:r>
        <w:rPr/>
        <w:t>Review necessary documents for us to start trading and clearing trades with MG</w:t>
        <w:tab/>
        <w:tab/>
      </w:r>
    </w:p>
    <w:p>
      <w:pPr>
        <w:pStyle w:val="Normal"/>
        <w:ind w:start="1080" w:end="0"/>
        <w:rPr/>
      </w:pPr>
      <w:r>
        <w:rPr/>
        <w:t>1.) What is the application process since we own, or will own, MG?</w:t>
        <w:tab/>
        <w:tab/>
        <w:tab/>
      </w:r>
    </w:p>
    <w:p>
      <w:pPr>
        <w:pStyle w:val="Normal"/>
        <w:numPr>
          <w:ilvl w:val="0"/>
          <w:numId w:val="4"/>
        </w:numPr>
        <w:rPr/>
      </w:pPr>
      <w:r>
        <w:rPr/>
        <w:t>Discuss cap on trading activities. How much does the unconditional guaranty cover?</w:t>
        <w:tab/>
        <w:tab/>
      </w:r>
    </w:p>
    <w:p>
      <w:pPr>
        <w:pStyle w:val="Normal"/>
        <w:ind w:start="1080" w:end="0"/>
        <w:rPr/>
      </w:pPr>
      <w:r>
        <w:rPr/>
        <w:t>1.)What is the limit on exposure? Which legal document has the amount disclosed on this limit?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Credit Issues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1. Do we need a line of credit and collateral payments? How is this settled every day?</w:t>
        <w:tab/>
        <w:tab/>
        <w:tab/>
      </w:r>
    </w:p>
    <w:p>
      <w:pPr>
        <w:pStyle w:val="Normal"/>
        <w:rPr/>
      </w:pPr>
      <w:r>
        <w:rPr/>
        <w:t>2. The unconditional guaranty will extend the $28MM line of credit to $56MM. With who? What is the interest rate?</w:t>
        <w:tab/>
        <w:tab/>
      </w:r>
    </w:p>
    <w:p>
      <w:pPr>
        <w:pStyle w:val="Normal"/>
        <w:rPr/>
      </w:pPr>
      <w:r>
        <w:rPr/>
        <w:t>3. Talk to David Hardy in Credit (London) regarding Enron Corp guarantee—when can it be put in place?</w:t>
        <w:tab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Questions for MG London, New York office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Have a conference call with Al Pennisi in New York to get an update on his group</w:t>
        <w:tab/>
        <w:tab/>
        <w:tab/>
      </w:r>
    </w:p>
    <w:p>
      <w:pPr>
        <w:pStyle w:val="Normal"/>
        <w:numPr>
          <w:ilvl w:val="0"/>
          <w:numId w:val="3"/>
        </w:numPr>
        <w:rPr/>
      </w:pPr>
      <w:r>
        <w:rPr/>
        <w:t xml:space="preserve">An additional fee of $.60-.70 RT may be assessed for Rawlson Nowlin (third party) </w:t>
        <w:tab/>
        <w:tab/>
      </w:r>
    </w:p>
    <w:p>
      <w:pPr>
        <w:pStyle w:val="Normal"/>
        <w:rPr/>
      </w:pPr>
      <w:r>
        <w:rPr/>
        <w:t xml:space="preserve">       </w:t>
      </w:r>
      <w:r>
        <w:rPr/>
        <w:tab/>
        <w:t xml:space="preserve">       when trading commences to handle the increased volume.</w:t>
      </w:r>
    </w:p>
    <w:p>
      <w:pPr>
        <w:pStyle w:val="Normal"/>
        <w:rPr/>
      </w:pPr>
      <w:r>
        <w:rPr/>
        <w:t>2. Verify the following fees with Al Pennisi:</w:t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>$.18</w:t>
        <w:tab/>
        <w:t>NFA (National Futures Association) fees</w:t>
      </w:r>
    </w:p>
    <w:p>
      <w:pPr>
        <w:pStyle w:val="Normal"/>
        <w:rPr/>
      </w:pPr>
      <w:r>
        <w:rPr/>
        <w:tab/>
        <w:t>$.80</w:t>
        <w:tab/>
        <w:t>NYMEX fees</w:t>
      </w:r>
    </w:p>
    <w:p>
      <w:pPr>
        <w:pStyle w:val="Normal"/>
        <w:rPr/>
      </w:pPr>
      <w:r>
        <w:rPr/>
        <w:tab/>
      </w:r>
      <w:r>
        <w:rPr>
          <w:u w:val="single"/>
        </w:rPr>
        <w:t>$2.50</w:t>
      </w:r>
      <w:r>
        <w:rPr/>
        <w:tab/>
        <w:t xml:space="preserve">executing broker fees </w:t>
      </w:r>
    </w:p>
    <w:p>
      <w:pPr>
        <w:pStyle w:val="Normal"/>
        <w:rPr/>
      </w:pPr>
      <w:r>
        <w:rPr/>
        <w:tab/>
        <w:t xml:space="preserve">$3.48 </w:t>
      </w:r>
    </w:p>
    <w:p>
      <w:pPr>
        <w:pStyle w:val="Normal"/>
        <w:rPr/>
      </w:pPr>
      <w:r>
        <w:rPr/>
        <w:t>3. As a result of these lower fees, how much would ENA save from MG clearing trades for us?</w:t>
        <w:tab/>
        <w:tab/>
      </w:r>
    </w:p>
    <w:p>
      <w:pPr>
        <w:pStyle w:val="Normal"/>
        <w:rPr/>
      </w:pPr>
      <w:r>
        <w:rPr/>
        <w:t>4. Al wants to discuss xpit concerns.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Other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Receive feedback from Brent Price on discussion with Jeff Shankman</w:t>
      </w:r>
    </w:p>
    <w:p>
      <w:pPr>
        <w:pStyle w:val="Normal"/>
        <w:rPr/>
      </w:pPr>
      <w:r>
        <w:rPr/>
        <w:t>2. Meet with other traders and commercial support to discuss which commodities would be cleared with MG.</w:t>
      </w:r>
    </w:p>
    <w:sectPr>
      <w:type w:val="nextPage"/>
      <w:pgSz w:w="12240" w:h="15840"/>
      <w:pgMar w:left="864" w:right="864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)"/>
      <w:lvlJc w:val="start"/>
      <w:pPr>
        <w:tabs>
          <w:tab w:val="num" w:pos="1440"/>
        </w:tabs>
        <w:ind w:start="1440" w:hanging="360"/>
      </w:pPr>
      <w:rPr/>
    </w:lvl>
  </w:abstractNum>
  <w:abstractNum w:abstractNumId="3">
    <w:lvl w:ilvl="0">
      <w:start w:val="1"/>
      <w:numFmt w:val="lowerLetter"/>
      <w:lvlText w:val="%1.)"/>
      <w:lvlJc w:val="start"/>
      <w:pPr>
        <w:tabs>
          <w:tab w:val="num" w:pos="1080"/>
        </w:tabs>
        <w:ind w:start="1080" w:hanging="360"/>
      </w:pPr>
      <w:rPr/>
    </w:lvl>
  </w:abstractNum>
  <w:abstractNum w:abstractNumId="4">
    <w:lvl w:ilvl="0">
      <w:start w:val="1"/>
      <w:numFmt w:val="lowerLetter"/>
      <w:lvlText w:val="%1.)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2000-08-17T12:59:00Z</dcterms:created>
  <dc:creator>ddupre2</dc:creator>
  <dc:description/>
  <dc:language>en-CA</dc:language>
  <cp:lastModifiedBy>ddupre2</cp:lastModifiedBy>
  <cp:lastPrinted>2000-08-17T10:59:00Z</cp:lastPrinted>
  <dcterms:modified xsi:type="dcterms:W3CDTF">2000-08-17T15:27:00Z</dcterms:modified>
  <cp:revision>6</cp:revision>
  <dc:subject/>
  <dc:title>MG</dc:title>
</cp:coreProperties>
</file>