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6045"/>
        <w:gridCol w:w="990"/>
        <w:gridCol w:w="2655"/>
      </w:tblGrid>
      <w:tr>
        <w:trPr>
          <w:trHeight w:val="300" w:hRule="exact"/>
        </w:trPr>
        <w:tc>
          <w:tcPr>
            <w:tcW w:w="708" w:type="dxa"/>
            <w:tcBorders/>
          </w:tcPr>
          <w:p>
            <w:pPr>
              <w:pStyle w:val="Normal"/>
              <w:spacing w:before="0" w:after="240"/>
              <w:ind w:start="-180" w:end="0"/>
              <w:jc w:val="end"/>
              <w:rPr>
                <w:sz w:val="16"/>
              </w:rPr>
            </w:pPr>
            <w:r>
              <w:rPr>
                <w:sz w:val="16"/>
              </w:rPr>
              <w:t>To:</w:t>
            </w:r>
          </w:p>
        </w:tc>
        <w:tc>
          <w:tcPr>
            <w:tcW w:w="6045" w:type="dxa"/>
            <w:tcBorders/>
          </w:tcPr>
          <w:p>
            <w:pPr>
              <w:pStyle w:val="To"/>
              <w:spacing w:before="0" w:after="240"/>
              <w:rPr/>
            </w:pPr>
            <w:r>
              <w:rPr/>
              <w:t>Rick Causey</w:t>
            </w:r>
          </w:p>
        </w:tc>
        <w:tc>
          <w:tcPr>
            <w:tcW w:w="990" w:type="dxa"/>
            <w:tcBorders/>
          </w:tcPr>
          <w:p>
            <w:pPr>
              <w:pStyle w:val="Normal"/>
              <w:snapToGrid w:val="false"/>
              <w:spacing w:before="0" w:after="240"/>
              <w:ind w:start="-180" w:end="0"/>
              <w:rPr/>
            </w:pPr>
            <w:r>
              <w:rPr/>
            </w:r>
          </w:p>
        </w:tc>
        <w:tc>
          <w:tcPr>
            <w:tcW w:w="2655" w:type="dxa"/>
            <w:tcBorders/>
          </w:tcPr>
          <w:p>
            <w:pPr>
              <w:pStyle w:val="Normal"/>
              <w:snapToGrid w:val="false"/>
              <w:spacing w:before="0" w:after="240"/>
              <w:rPr/>
            </w:pPr>
            <w:r>
              <w:rPr/>
            </w:r>
          </w:p>
        </w:tc>
      </w:tr>
      <w:tr>
        <w:trPr>
          <w:trHeight w:val="216" w:hRule="exact"/>
        </w:trPr>
        <w:tc>
          <w:tcPr>
            <w:tcW w:w="708" w:type="dxa"/>
            <w:tcBorders/>
          </w:tcPr>
          <w:p>
            <w:pPr>
              <w:pStyle w:val="Normal"/>
              <w:spacing w:before="0" w:after="240"/>
              <w:jc w:val="end"/>
              <w:rPr>
                <w:sz w:val="16"/>
              </w:rPr>
            </w:pPr>
            <w:r>
              <w:rPr>
                <w:sz w:val="16"/>
              </w:rPr>
              <w:t>Cc:</w:t>
            </w:r>
          </w:p>
        </w:tc>
        <w:tc>
          <w:tcPr>
            <w:tcW w:w="6045" w:type="dxa"/>
            <w:tcBorders/>
          </w:tcPr>
          <w:p>
            <w:pPr>
              <w:pStyle w:val="To"/>
              <w:snapToGrid w:val="false"/>
              <w:rPr>
                <w:sz w:val="16"/>
              </w:rPr>
            </w:pPr>
            <w:r>
              <w:rPr>
                <w:sz w:val="16"/>
              </w:rPr>
            </w:r>
          </w:p>
          <w:p>
            <w:pPr>
              <w:pStyle w:val="To"/>
              <w:rPr/>
            </w:pPr>
            <w:r>
              <w:rPr/>
            </w:r>
          </w:p>
          <w:p>
            <w:pPr>
              <w:pStyle w:val="To"/>
              <w:spacing w:before="0" w:after="240"/>
              <w:rPr/>
            </w:pPr>
            <w:r>
              <w:rPr/>
            </w:r>
          </w:p>
        </w:tc>
        <w:tc>
          <w:tcPr>
            <w:tcW w:w="990" w:type="dxa"/>
            <w:tcBorders/>
          </w:tcPr>
          <w:p>
            <w:pPr>
              <w:pStyle w:val="To"/>
              <w:snapToGrid w:val="false"/>
              <w:spacing w:before="0" w:after="240"/>
              <w:rPr/>
            </w:pPr>
            <w:r>
              <w:rPr/>
            </w:r>
          </w:p>
        </w:tc>
        <w:tc>
          <w:tcPr>
            <w:tcW w:w="2655" w:type="dxa"/>
            <w:tcBorders/>
          </w:tcPr>
          <w:p>
            <w:pPr>
              <w:pStyle w:val="To"/>
              <w:snapToGrid w:val="false"/>
              <w:spacing w:before="0" w:after="240"/>
              <w:rPr/>
            </w:pPr>
            <w:r>
              <w:rPr/>
            </w:r>
          </w:p>
        </w:tc>
      </w:tr>
      <w:tr>
        <w:trPr>
          <w:trHeight w:val="300" w:hRule="exact"/>
        </w:trPr>
        <w:tc>
          <w:tcPr>
            <w:tcW w:w="708" w:type="dxa"/>
            <w:tcBorders/>
          </w:tcPr>
          <w:p>
            <w:pPr>
              <w:pStyle w:val="Normal"/>
              <w:spacing w:before="0" w:after="240"/>
              <w:jc w:val="end"/>
              <w:rPr>
                <w:sz w:val="16"/>
              </w:rPr>
            </w:pPr>
            <w:r>
              <w:rPr>
                <w:sz w:val="16"/>
              </w:rPr>
              <w:t>From:</w:t>
            </w:r>
          </w:p>
        </w:tc>
        <w:tc>
          <w:tcPr>
            <w:tcW w:w="6045" w:type="dxa"/>
            <w:tcBorders/>
          </w:tcPr>
          <w:p>
            <w:pPr>
              <w:pStyle w:val="From"/>
              <w:spacing w:before="0" w:after="240"/>
              <w:rPr/>
            </w:pPr>
            <w:r>
              <w:rPr/>
              <w:t>Fernley Dyson</w:t>
            </w:r>
          </w:p>
        </w:tc>
        <w:tc>
          <w:tcPr>
            <w:tcW w:w="990" w:type="dxa"/>
            <w:tcBorders/>
          </w:tcPr>
          <w:p>
            <w:pPr>
              <w:pStyle w:val="Normal"/>
              <w:spacing w:before="0" w:after="240"/>
              <w:ind w:start="-180" w:end="0"/>
              <w:jc w:val="end"/>
              <w:rPr>
                <w:sz w:val="16"/>
              </w:rPr>
            </w:pPr>
            <w:r>
              <w:rPr>
                <w:sz w:val="16"/>
              </w:rPr>
              <w:t>Department:</w:t>
            </w:r>
          </w:p>
        </w:tc>
        <w:tc>
          <w:tcPr>
            <w:tcW w:w="2655" w:type="dxa"/>
            <w:tcBorders/>
          </w:tcPr>
          <w:p>
            <w:pPr>
              <w:pStyle w:val="Department"/>
              <w:spacing w:before="0" w:after="240"/>
              <w:rPr/>
            </w:pPr>
            <w:bookmarkStart w:id="0" w:name="From"/>
            <w:bookmarkEnd w:id="0"/>
            <w:r>
              <w:rPr/>
              <w:t>Enron Europe</w:t>
            </w:r>
          </w:p>
        </w:tc>
      </w:tr>
      <w:tr>
        <w:trPr>
          <w:trHeight w:val="216" w:hRule="exact"/>
        </w:trPr>
        <w:tc>
          <w:tcPr>
            <w:tcW w:w="708" w:type="dxa"/>
            <w:tcBorders/>
          </w:tcPr>
          <w:p>
            <w:pPr>
              <w:pStyle w:val="Normal"/>
              <w:snapToGrid w:val="false"/>
              <w:spacing w:before="0" w:after="240"/>
              <w:ind w:start="-180" w:end="0"/>
              <w:jc w:val="end"/>
              <w:rPr>
                <w:sz w:val="18"/>
              </w:rPr>
            </w:pPr>
            <w:r>
              <w:rPr>
                <w:sz w:val="18"/>
              </w:rPr>
            </w:r>
          </w:p>
        </w:tc>
        <w:tc>
          <w:tcPr>
            <w:tcW w:w="6045" w:type="dxa"/>
            <w:tcBorders/>
          </w:tcPr>
          <w:p>
            <w:pPr>
              <w:pStyle w:val="Normal"/>
              <w:snapToGrid w:val="false"/>
              <w:spacing w:before="0" w:after="240"/>
              <w:rPr>
                <w:sz w:val="18"/>
              </w:rPr>
            </w:pPr>
            <w:r>
              <w:rPr>
                <w:sz w:val="18"/>
              </w:rPr>
            </w:r>
          </w:p>
        </w:tc>
        <w:tc>
          <w:tcPr>
            <w:tcW w:w="990" w:type="dxa"/>
            <w:tcBorders/>
          </w:tcPr>
          <w:p>
            <w:pPr>
              <w:pStyle w:val="Normal"/>
              <w:snapToGrid w:val="false"/>
              <w:spacing w:before="0" w:after="240"/>
              <w:ind w:start="-180" w:end="0"/>
              <w:rPr>
                <w:sz w:val="18"/>
              </w:rPr>
            </w:pPr>
            <w:r>
              <w:rPr>
                <w:sz w:val="18"/>
              </w:rPr>
            </w:r>
          </w:p>
        </w:tc>
        <w:tc>
          <w:tcPr>
            <w:tcW w:w="2655" w:type="dxa"/>
            <w:tcBorders/>
          </w:tcPr>
          <w:p>
            <w:pPr>
              <w:pStyle w:val="Normal"/>
              <w:snapToGrid w:val="false"/>
              <w:spacing w:before="0" w:after="240"/>
              <w:rPr>
                <w:sz w:val="18"/>
              </w:rPr>
            </w:pPr>
            <w:r>
              <w:rPr>
                <w:sz w:val="18"/>
              </w:rPr>
            </w:r>
          </w:p>
        </w:tc>
      </w:tr>
      <w:tr>
        <w:trPr>
          <w:trHeight w:val="600" w:hRule="exact"/>
        </w:trPr>
        <w:tc>
          <w:tcPr>
            <w:tcW w:w="708" w:type="dxa"/>
            <w:tcBorders>
              <w:bottom w:val="single" w:sz="12" w:space="0" w:color="000000"/>
            </w:tcBorders>
          </w:tcPr>
          <w:p>
            <w:pPr>
              <w:pStyle w:val="Normal"/>
              <w:spacing w:before="0" w:after="240"/>
              <w:ind w:start="-180" w:end="0"/>
              <w:jc w:val="end"/>
              <w:rPr>
                <w:sz w:val="16"/>
              </w:rPr>
            </w:pPr>
            <w:r>
              <w:rPr>
                <w:sz w:val="16"/>
              </w:rPr>
              <w:t>Subject:</w:t>
            </w:r>
          </w:p>
        </w:tc>
        <w:tc>
          <w:tcPr>
            <w:tcW w:w="6045" w:type="dxa"/>
            <w:tcBorders>
              <w:bottom w:val="single" w:sz="12" w:space="0" w:color="000000"/>
            </w:tcBorders>
          </w:tcPr>
          <w:p>
            <w:pPr>
              <w:pStyle w:val="Subject"/>
              <w:spacing w:before="0" w:after="240"/>
              <w:rPr/>
            </w:pPr>
            <w:r>
              <w:rPr/>
              <w:t>MG integration</w:t>
            </w:r>
          </w:p>
        </w:tc>
        <w:tc>
          <w:tcPr>
            <w:tcW w:w="990" w:type="dxa"/>
            <w:tcBorders>
              <w:bottom w:val="single" w:sz="12" w:space="0" w:color="000000"/>
            </w:tcBorders>
          </w:tcPr>
          <w:p>
            <w:pPr>
              <w:pStyle w:val="Normal"/>
              <w:spacing w:before="0" w:after="240"/>
              <w:ind w:start="-180" w:end="0"/>
              <w:jc w:val="end"/>
              <w:rPr>
                <w:sz w:val="16"/>
              </w:rPr>
            </w:pPr>
            <w:r>
              <w:rPr>
                <w:sz w:val="16"/>
              </w:rPr>
              <w:t>Date:</w:t>
            </w:r>
          </w:p>
        </w:tc>
        <w:tc>
          <w:tcPr>
            <w:tcW w:w="2655" w:type="dxa"/>
            <w:tcBorders>
              <w:bottom w:val="single" w:sz="12" w:space="0" w:color="000000"/>
            </w:tcBorders>
          </w:tcPr>
          <w:p>
            <w:pPr>
              <w:pStyle w:val="Date"/>
              <w:spacing w:before="0" w:after="240"/>
              <w:rPr/>
            </w:pPr>
            <w:r>
              <w:rPr/>
              <w:fldChar w:fldCharType="begin"/>
            </w:r>
            <w:r>
              <w:rPr/>
              <w:instrText xml:space="preserve"> SAVEDATE \@"d\ MMMM\ yyyy" </w:instrText>
            </w:r>
            <w:r>
              <w:rPr/>
              <w:fldChar w:fldCharType="separate"/>
            </w:r>
            <w:r>
              <w:rPr/>
              <w:t>26 June 2000</w:t>
            </w:r>
            <w:r>
              <w:rPr/>
              <w:fldChar w:fldCharType="end"/>
            </w:r>
          </w:p>
        </w:tc>
      </w:tr>
    </w:tbl>
    <w:p>
      <w:pPr>
        <w:pStyle w:val="Normal"/>
        <w:rPr/>
      </w:pPr>
      <w:r>
        <w:rPr/>
      </w:r>
    </w:p>
    <w:p>
      <w:pPr>
        <w:pStyle w:val="Heading2"/>
        <w:ind w:hanging="0" w:start="0"/>
        <w:rPr>
          <w:lang w:val="en-AU" w:eastAsia="en-US"/>
        </w:rPr>
      </w:pPr>
      <w:r>
        <w:rPr>
          <w:lang w:val="en-AU" w:eastAsia="en-US"/>
        </w:rPr>
        <w:t>Project Management</w:t>
      </w:r>
    </w:p>
    <w:p>
      <w:pPr>
        <w:pStyle w:val="Normal"/>
        <w:rPr>
          <w:lang w:val="en-AU" w:eastAsia="en-US"/>
        </w:rPr>
      </w:pPr>
      <w:r>
        <w:rPr>
          <w:lang w:val="en-AU" w:eastAsia="en-US"/>
        </w:rPr>
        <w:t>Richard Sage from the Strategic Initiatives Group has stepped into the Project Management role, covering the Middle and Back Offices, but working very closely with other Support areas (E.g. IT, RAC, Premises) to ensure that everything is in step. There is an Enron RAC manager on-site full-time in the MG London office. There are separate weekly forums for Project Risks (what could delay the integration) and Operational Risks (what could go wrong during or after integration) to be raised and resolved.</w:t>
      </w:r>
    </w:p>
    <w:p>
      <w:pPr>
        <w:pStyle w:val="Normal"/>
        <w:rPr>
          <w:lang w:val="en-AU" w:eastAsia="en-US"/>
        </w:rPr>
      </w:pPr>
      <w:r>
        <w:rPr>
          <w:lang w:val="en-AU" w:eastAsia="en-US"/>
        </w:rPr>
        <w:t>Richard is assisted full-time by an AA consultant - Phil Redman, and by two more of his SIG team. IT have freed up a full-time resource, Bob Campbell, and other departments have nominated point people.</w:t>
      </w:r>
    </w:p>
    <w:p>
      <w:pPr>
        <w:pStyle w:val="Heading2"/>
        <w:ind w:hanging="0" w:start="0"/>
        <w:rPr>
          <w:lang w:val="en-AU" w:eastAsia="en-US"/>
        </w:rPr>
      </w:pPr>
      <w:r>
        <w:rPr>
          <w:lang w:val="en-AU" w:eastAsia="en-US"/>
        </w:rPr>
        <w:t>Controls</w:t>
      </w:r>
    </w:p>
    <w:p>
      <w:pPr>
        <w:pStyle w:val="Normal"/>
        <w:rPr>
          <w:lang w:val="en-AU" w:eastAsia="en-US"/>
        </w:rPr>
      </w:pPr>
      <w:r>
        <w:rPr>
          <w:lang w:val="en-AU" w:eastAsia="en-US"/>
        </w:rPr>
        <w:t>AA are producing their final due diligence report on 28th June.</w:t>
      </w:r>
    </w:p>
    <w:p>
      <w:pPr>
        <w:pStyle w:val="Normal"/>
        <w:rPr>
          <w:lang w:val="en-AU" w:eastAsia="en-US"/>
        </w:rPr>
      </w:pPr>
      <w:r>
        <w:rPr>
          <w:lang w:val="en-AU" w:eastAsia="en-US"/>
        </w:rPr>
        <w:t>MG senior management has not yet embraced the need for Commercial Support to be part of Enron-wide functions with only dotted lines to the business, but Eric Gadd will work through this with them this week.</w:t>
      </w:r>
    </w:p>
    <w:p>
      <w:pPr>
        <w:pStyle w:val="Normal"/>
        <w:rPr>
          <w:lang w:val="en-AU" w:eastAsia="en-US"/>
        </w:rPr>
      </w:pPr>
      <w:r>
        <w:rPr>
          <w:lang w:val="en-AU" w:eastAsia="en-US"/>
        </w:rPr>
        <w:t>From visits already made to MG offices in Europe, USA, and the Far East, we are already aware that trading controls are weak, and that there is very little segregation of functions, although there is substantial segregation by business within the group. We are therefore seeking to introduce Enron people into the London and New York offices at the earliest opportunity to work at creating more segregation by function, as well as conducting Doorstep-style tests in London and Beijing (w/c 26th June) and New York (w/c 3rd July).</w:t>
      </w:r>
    </w:p>
    <w:p>
      <w:pPr>
        <w:pStyle w:val="Normal"/>
        <w:rPr>
          <w:lang w:val="en-AU" w:eastAsia="en-US"/>
        </w:rPr>
      </w:pPr>
      <w:r>
        <w:rPr>
          <w:lang w:val="en-AU" w:eastAsia="en-US"/>
        </w:rPr>
        <w:t>We will be recommending changes to the way that some of the trading businesses are carried out in order to reduce the number of offices in which we need to maintain an independent control process on site. This may enable us to reduce the number of offices where a full Doorstep visit is necessary.</w:t>
      </w:r>
    </w:p>
    <w:p>
      <w:pPr>
        <w:pStyle w:val="Normal"/>
        <w:rPr>
          <w:lang w:val="en-AU" w:eastAsia="en-US"/>
        </w:rPr>
      </w:pPr>
      <w:r>
        <w:rPr>
          <w:lang w:val="en-AU" w:eastAsia="en-US"/>
        </w:rPr>
        <w:t>We will also examine the fit of some of the more exotic businesses for which the income contribution may not cover the costs of a full robust control environment.</w:t>
      </w:r>
    </w:p>
    <w:p>
      <w:pPr>
        <w:pStyle w:val="Normal"/>
        <w:rPr>
          <w:lang w:val="en-AU" w:eastAsia="en-US"/>
        </w:rPr>
      </w:pPr>
      <w:r>
        <w:rPr>
          <w:lang w:val="en-AU" w:eastAsia="en-US"/>
        </w:rPr>
        <w:t>MG continues to make small acqusitions itself - we are applying the DASH process to these deals.</w:t>
      </w:r>
    </w:p>
    <w:p>
      <w:pPr>
        <w:pStyle w:val="Normal"/>
        <w:rPr>
          <w:lang w:val="en-AU" w:eastAsia="en-US"/>
        </w:rPr>
      </w:pPr>
      <w:r>
        <w:rPr>
          <w:lang w:val="en-AU" w:eastAsia="en-US"/>
        </w:rPr>
        <w:t>We will apply the lessons learnt from the Global Products business, particularly concerning the split between Commercial and Commercial Support roles within Logistics and Settlement, re-using tools where possible.</w:t>
      </w:r>
    </w:p>
    <w:p>
      <w:pPr>
        <w:pStyle w:val="Normal"/>
        <w:rPr>
          <w:lang w:val="en-AU" w:eastAsia="en-US"/>
        </w:rPr>
      </w:pPr>
      <w:r>
        <w:rPr>
          <w:lang w:val="en-AU" w:eastAsia="en-US"/>
        </w:rPr>
        <w:t>Various functions were not cleanly split from the former parent MG AG on floatation last year, and so work is now required to clarify what belongs where. This applies to some Commerical functions as well as Support functions.</w:t>
      </w:r>
    </w:p>
    <w:p>
      <w:pPr>
        <w:pStyle w:val="Heading2"/>
        <w:ind w:hanging="0" w:start="0"/>
        <w:rPr>
          <w:lang w:val="en-AU" w:eastAsia="en-US"/>
        </w:rPr>
      </w:pPr>
      <w:r>
        <w:rPr>
          <w:lang w:val="en-AU" w:eastAsia="en-US"/>
        </w:rPr>
        <w:t>Offices</w:t>
      </w:r>
    </w:p>
    <w:p>
      <w:pPr>
        <w:pStyle w:val="Normal"/>
        <w:rPr/>
      </w:pPr>
      <w:r>
        <w:rPr/>
        <w:t>London MG staff will move into Enron House on 16</w:t>
      </w:r>
      <w:r>
        <w:rPr>
          <w:vertAlign w:val="superscript"/>
        </w:rPr>
        <w:t>th</w:t>
      </w:r>
      <w:r>
        <w:rPr/>
        <w:t> September. Other offices are looking to combine wherever possible.</w:t>
      </w:r>
    </w:p>
    <w:p>
      <w:pPr>
        <w:pStyle w:val="Heading2"/>
        <w:ind w:hanging="0" w:start="0"/>
        <w:rPr>
          <w:lang w:val="en-AU" w:eastAsia="en-US"/>
        </w:rPr>
      </w:pPr>
      <w:r>
        <w:rPr>
          <w:lang w:val="en-AU" w:eastAsia="en-US"/>
        </w:rPr>
        <w:t>Staffing</w:t>
      </w:r>
    </w:p>
    <w:p>
      <w:pPr>
        <w:pStyle w:val="Normal"/>
        <w:rPr/>
      </w:pPr>
      <w:r>
        <w:rPr/>
        <w:t>MG is very leanly staffed in Commercial Support areas. Much knowledge is contained in a small number of heads. At least in London, staff are generally paid significantly above market rate so are unlikely to leave quickly, although the extra travel involved for many who live on the east side of London to Enron House may be a negative factor.</w:t>
      </w:r>
    </w:p>
    <w:p>
      <w:pPr>
        <w:pStyle w:val="Normal"/>
        <w:rPr>
          <w:lang w:val="en-AU" w:eastAsia="en-US"/>
        </w:rPr>
      </w:pPr>
      <w:r>
        <w:rPr/>
        <w:t>Full integration for HR purposes will take place with effect from 1</w:t>
      </w:r>
      <w:r>
        <w:rPr>
          <w:vertAlign w:val="superscript"/>
        </w:rPr>
        <w:t>st </w:t>
      </w:r>
      <w:r>
        <w:rPr/>
        <w:t>January 2001.</w:t>
      </w:r>
    </w:p>
    <w:p>
      <w:pPr>
        <w:pStyle w:val="Heading2"/>
        <w:ind w:hanging="0" w:start="0"/>
        <w:rPr>
          <w:lang w:val="en-AU" w:eastAsia="en-US"/>
        </w:rPr>
      </w:pPr>
      <w:r>
        <w:rPr>
          <w:lang w:val="en-AU" w:eastAsia="en-US"/>
        </w:rPr>
        <w:t>Systems</w:t>
      </w:r>
    </w:p>
    <w:p>
      <w:pPr>
        <w:pStyle w:val="Normal"/>
        <w:rPr>
          <w:lang w:val="en-AU" w:eastAsia="en-US"/>
        </w:rPr>
      </w:pPr>
      <w:r>
        <w:rPr>
          <w:lang w:val="en-AU" w:eastAsia="en-US"/>
        </w:rPr>
        <w:t>The current plan is to bring over the trading systems as they are, and add feeds to SAP, CAS, RiskTRAC, and to the DPR process.</w:t>
      </w:r>
    </w:p>
    <w:p>
      <w:pPr>
        <w:pStyle w:val="Normal"/>
        <w:rPr>
          <w:lang w:val="en-AU" w:eastAsia="en-US"/>
        </w:rPr>
      </w:pPr>
      <w:r>
        <w:rPr>
          <w:lang w:val="en-AU" w:eastAsia="en-US"/>
        </w:rPr>
        <w:t>The fact that the New York and Frankfurt offices of MG have been using SAP does not mean that we can simply transfer the data, but does mean that the cultural change will be less than in London. Our working assumption is that we should complete the transfer to SAP for all locations by 1st December.</w:t>
      </w:r>
    </w:p>
    <w:p>
      <w:pPr>
        <w:pStyle w:val="Normal"/>
        <w:rPr>
          <w:lang w:val="en-AU" w:eastAsia="en-US"/>
        </w:rPr>
      </w:pPr>
      <w:r>
        <w:rPr>
          <w:lang w:val="en-AU" w:eastAsia="en-US"/>
        </w:rPr>
        <w:t>Hardware is frequently of low specification and so there will be significant costs to upgrade. The immediate focus is on securing the existing platform.</w:t>
      </w:r>
    </w:p>
    <w:p>
      <w:pPr>
        <w:pStyle w:val="Heading2"/>
        <w:ind w:hanging="0" w:start="0"/>
        <w:rPr/>
      </w:pPr>
      <w:r>
        <w:rPr/>
        <w:t>Forecasts</w:t>
      </w:r>
    </w:p>
    <w:p>
      <w:pPr>
        <w:pStyle w:val="Normal"/>
        <w:rPr/>
      </w:pPr>
      <w:r>
        <w:rPr/>
        <w:t>There are substantial costs associated with the acquisition, including the interest-rate hit from moving the substantial inventory off balance sheet. The revenue targets are being revised to ensure that the overall effect in 2000 is positive.</w:t>
      </w:r>
    </w:p>
    <w:p>
      <w:pPr>
        <w:pStyle w:val="Heading2"/>
        <w:ind w:hanging="0" w:start="0"/>
        <w:rPr/>
      </w:pPr>
      <w:r>
        <w:rPr/>
        <w:t>EOL</w:t>
      </w:r>
    </w:p>
    <w:p>
      <w:pPr>
        <w:pStyle w:val="Normal"/>
        <w:spacing w:before="0" w:after="240"/>
        <w:rPr/>
      </w:pPr>
      <w:r>
        <w:rPr/>
        <w:t>An immediate project is to offer some metals contracts on EOL by 3</w:t>
      </w:r>
      <w:r>
        <w:rPr>
          <w:vertAlign w:val="superscript"/>
        </w:rPr>
        <w:t>rd</w:t>
      </w:r>
      <w:r>
        <w:rPr/>
        <w:t> July. These will not be exactly the same as contracts already offered by MG on their electronic trading site. Accessing credit information from MG systems is the main issue on the critical path for this project.</w:t>
      </w:r>
    </w:p>
    <w:sectPr>
      <w:headerReference w:type="default" r:id="rId3"/>
      <w:headerReference w:type="first" r:id="rId4"/>
      <w:footerReference w:type="default" r:id="rId5"/>
      <w:footerReference w:type="first" r:id="rId6"/>
      <w:type w:val="nextPage"/>
      <w:pgSz w:w="11906" w:h="16838"/>
      <w:pgMar w:left="720" w:right="720" w:gutter="0" w:header="720" w:top="1701" w:footer="357"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3780" w:leader="none"/>
        <w:tab w:val="center" w:pos="5040" w:leader="none"/>
        <w:tab w:val="center" w:pos="7560" w:leader="none"/>
        <w:tab w:val="right" w:pos="10080" w:leader="none"/>
      </w:tabs>
      <w:jc w:val="center"/>
      <w:rPr>
        <w:b/>
        <w:sz w:val="16"/>
      </w:rPr>
    </w:pPr>
    <w:r>
      <w:rPr>
        <w:b/>
        <w:sz w:val="16"/>
      </w:rPr>
      <w:t>Your Personal Best Makes Enron Best</w:t>
      <w:tab/>
      <w:t>Communicate- Facts Are Friendly</w:t>
      <w:tab/>
      <w:tab/>
      <w:t>Better, Faster, Simpler</w:t>
    </w:r>
  </w:p>
  <w:p>
    <w:pPr>
      <w:pStyle w:val="Footer"/>
      <w:tabs>
        <w:tab w:val="left" w:pos="3780" w:leader="none"/>
        <w:tab w:val="center" w:pos="5040" w:leader="none"/>
        <w:tab w:val="center" w:pos="7560" w:leader="none"/>
        <w:tab w:val="right" w:pos="10080" w:leader="none"/>
      </w:tabs>
      <w:spacing w:before="0" w:after="240"/>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Your Personal Best Makes Enron Best</w:t>
      <w:tab/>
      <w:t>Communicate- Facts Are Friendly</w:t>
      <w:tab/>
      <w:t>Better, Faster, Simpler</w:t>
    </w:r>
  </w:p>
  <w:p>
    <w:pPr>
      <w:pStyle w:val="Footer"/>
      <w:tabs>
        <w:tab w:val="left" w:pos="3780" w:leader="none"/>
        <w:tab w:val="center" w:pos="5040" w:leader="none"/>
        <w:tab w:val="center" w:pos="7560" w:leader="none"/>
        <w:tab w:val="right" w:pos="10080" w:leader="none"/>
        <w:tab w:val="right" w:pos="10800" w:leader="none"/>
      </w:tabs>
      <w:spacing w:before="0" w:after="240"/>
      <w:rPr>
        <w:sz w:val="12"/>
      </w:rPr>
    </w:pPr>
    <w:r>
      <w:rPr>
        <w:sz w:val="12"/>
      </w:rPr>
      <w:t>Form 000-469-1 (7/92)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SAVEDATE \@"yy\-MM\-dd" </w:instrText>
    </w:r>
    <w:r>
      <w:rPr/>
      <w:fldChar w:fldCharType="separate"/>
    </w:r>
    <w:r>
      <w:rPr/>
      <w:t>00-06-26</w:t>
    </w:r>
    <w:r>
      <w:rPr/>
      <w:fldChar w:fldCharType="end"/>
    </w:r>
    <w:r>
      <w:rPr/>
      <w:tab/>
      <w:t xml:space="preserve">Page </w:t>
    </w:r>
    <w:r>
      <w:rPr/>
      <w:fldChar w:fldCharType="begin"/>
    </w:r>
    <w:r>
      <w:rPr/>
      <w:instrText xml:space="preserve"> PAGE </w:instrText>
    </w:r>
    <w:r>
      <w:rPr/>
      <w:fldChar w:fldCharType="separate"/>
    </w:r>
    <w:r>
      <w:rPr/>
      <w:t>2</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Lines/>
      <w:widowControl/>
      <w:bidi w:val="0"/>
      <w:spacing w:before="0" w:after="240"/>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0" w:after="0"/>
                            <w:ind w:start="3600" w:end="0"/>
                            <w:rPr>
                              <w:b/>
                              <w:sz w:val="32"/>
                            </w:rPr>
                          </w:pPr>
                          <w:r>
                            <w:rPr>
                              <w:b/>
                              <w:sz w:val="32"/>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0" w:after="0"/>
                      <w:ind w:start="3600" w:end="0"/>
                      <w:rPr>
                        <w:b/>
                        <w:sz w:val="32"/>
                      </w:rPr>
                    </w:pPr>
                    <w:r>
                      <w:rPr>
                        <w:b/>
                        <w:sz w:val="32"/>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keepLines/>
      <w:widowControl/>
      <w:bidi w:val="0"/>
      <w:spacing w:before="0" w:after="24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keepLines/>
      <w:pageBreakBefore/>
      <w:numPr>
        <w:ilvl w:val="0"/>
        <w:numId w:val="1"/>
      </w:numPr>
      <w:tabs>
        <w:tab w:val="clear" w:pos="720"/>
      </w:tabs>
      <w:spacing w:before="0" w:after="240"/>
      <w:outlineLvl w:val="0"/>
    </w:pPr>
    <w:rPr>
      <w:rFonts w:ascii="Times New Roman" w:hAnsi="Times New Roman" w:cs="Times New Roman"/>
      <w:b/>
    </w:rPr>
  </w:style>
  <w:style w:type="paragraph" w:styleId="Heading2">
    <w:name w:val="heading 2"/>
    <w:basedOn w:val="Heading1"/>
    <w:next w:val="Heading3"/>
    <w:qFormat/>
    <w:pPr>
      <w:pageBreakBefore w:val="false"/>
      <w:numPr>
        <w:ilvl w:val="1"/>
        <w:numId w:val="1"/>
      </w:numPr>
      <w:outlineLvl w:val="1"/>
    </w:pPr>
    <w:rPr>
      <w:sz w:val="20"/>
    </w:rPr>
  </w:style>
  <w:style w:type="paragraph" w:styleId="Heading3">
    <w:name w:val="heading 3"/>
    <w:basedOn w:val="Heading2"/>
    <w:next w:val="Normal"/>
    <w:qFormat/>
    <w:pPr>
      <w:numPr>
        <w:ilvl w:val="2"/>
        <w:numId w:val="1"/>
      </w:numPr>
      <w:outlineLvl w:val="2"/>
    </w:pPr>
    <w:rPr>
      <w:b w:val="false"/>
    </w:rPr>
  </w:style>
  <w:style w:type="paragraph" w:styleId="Heading4">
    <w:name w:val="heading 4"/>
    <w:basedOn w:val="Heading3"/>
    <w:next w:val="Heading5"/>
    <w:qFormat/>
    <w:pPr>
      <w:numPr>
        <w:ilvl w:val="3"/>
        <w:numId w:val="1"/>
      </w:numPr>
      <w:outlineLvl w:val="3"/>
    </w:pPr>
    <w:rPr/>
  </w:style>
  <w:style w:type="paragraph" w:styleId="Heading5">
    <w:name w:val="heading 5"/>
    <w:basedOn w:val="Heading4"/>
    <w:next w:val="Normal"/>
    <w:qFormat/>
    <w:pPr>
      <w:numPr>
        <w:ilvl w:val="4"/>
        <w:numId w:val="1"/>
      </w:numPr>
      <w:outlineLvl w:val="4"/>
    </w:pPr>
    <w:rPr/>
  </w:style>
  <w:style w:type="character" w:styleId="DefaultParagraphFont">
    <w:name w:val="Default Paragraph Font"/>
    <w:qFormat/>
    <w:rPr/>
  </w:style>
  <w:style w:type="paragraph" w:styleId="Heading">
    <w:name w:val="Heading"/>
    <w:basedOn w:val="Normal"/>
    <w:next w:val="BodyText"/>
    <w:qFormat/>
    <w:pPr>
      <w:tabs>
        <w:tab w:val="clear" w:pos="72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0" w:after="0"/>
      <w:ind w:hanging="0" w:start="3600" w:end="0"/>
    </w:pPr>
    <w:rPr>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5040" w:leader="none"/>
        <w:tab w:val="right" w:pos="10080" w:leader="none"/>
      </w:tabs>
      <w:spacing w:before="0" w:after="0"/>
    </w:pPr>
    <w:rPr>
      <w:rFonts w:ascii="Times New Roman" w:hAnsi="Times New Roman" w:cs="Times New Roman"/>
      <w:sz w:val="20"/>
    </w:rPr>
  </w:style>
  <w:style w:type="paragraph" w:styleId="Footer">
    <w:name w:val="footer"/>
    <w:basedOn w:val="Header"/>
    <w:pPr>
      <w:keepLines/>
      <w:spacing w:before="0" w:after="240"/>
    </w:pPr>
    <w:rPr>
      <w:rFonts w:ascii="Times New Roman" w:hAnsi="Times New Roman" w:cs="Times New Roman"/>
      <w:i/>
      <w:sz w:val="20"/>
    </w:rPr>
  </w:style>
  <w:style w:type="paragraph" w:styleId="Subject">
    <w:name w:val="Subject"/>
    <w:basedOn w:val="Normal"/>
    <w:qFormat/>
    <w:pPr>
      <w:tabs>
        <w:tab w:val="clear" w:pos="720"/>
      </w:tabs>
    </w:pPr>
    <w:rPr>
      <w:sz w:val="20"/>
    </w:rPr>
  </w:style>
  <w:style w:type="paragraph" w:styleId="Date">
    <w:name w:val="Date"/>
    <w:basedOn w:val="Normal"/>
    <w:qFormat/>
    <w:pPr>
      <w:tabs>
        <w:tab w:val="clear" w:pos="720"/>
      </w:tabs>
    </w:pPr>
    <w:rPr>
      <w:sz w:val="20"/>
    </w:rPr>
  </w:style>
  <w:style w:type="paragraph" w:styleId="To">
    <w:name w:val="To"/>
    <w:basedOn w:val="Normal"/>
    <w:qFormat/>
    <w:pPr>
      <w:tabs>
        <w:tab w:val="clear" w:pos="720"/>
      </w:tabs>
    </w:pPr>
    <w:rPr>
      <w:sz w:val="20"/>
    </w:rPr>
  </w:style>
  <w:style w:type="paragraph" w:styleId="From">
    <w:name w:val="From"/>
    <w:basedOn w:val="Normal"/>
    <w:qFormat/>
    <w:pPr>
      <w:tabs>
        <w:tab w:val="clear" w:pos="720"/>
      </w:tabs>
    </w:pPr>
    <w:rPr>
      <w:sz w:val="20"/>
    </w:rPr>
  </w:style>
  <w:style w:type="paragraph" w:styleId="CopyList">
    <w:name w:val="CopyList"/>
    <w:basedOn w:val="Normal"/>
    <w:qFormat/>
    <w:pPr>
      <w:tabs>
        <w:tab w:val="clear" w:pos="720"/>
        <w:tab w:val="left" w:pos="504" w:leader="none"/>
      </w:tabs>
      <w:spacing w:before="360" w:after="240"/>
      <w:ind w:hanging="504" w:start="576" w:end="0"/>
    </w:pPr>
    <w:rPr>
      <w:rFonts w:ascii="Arial" w:hAnsi="Arial" w:cs="Arial"/>
      <w:sz w:val="20"/>
    </w:rPr>
  </w:style>
  <w:style w:type="paragraph" w:styleId="Body">
    <w:name w:val="Body"/>
    <w:basedOn w:val="Normal"/>
    <w:qFormat/>
    <w:pPr>
      <w:tabs>
        <w:tab w:val="clear" w:pos="720"/>
      </w:tabs>
      <w:ind w:hanging="0" w:start="72" w:end="0"/>
    </w:pPr>
    <w:rPr>
      <w:rFonts w:ascii="Arial" w:hAnsi="Arial" w:cs="Arial"/>
      <w:color w:val="000080"/>
      <w:sz w:val="20"/>
    </w:rPr>
  </w:style>
  <w:style w:type="paragraph" w:styleId="Department">
    <w:name w:val="Department"/>
    <w:basedOn w:val="Normal"/>
    <w:qFormat/>
    <w:pPr>
      <w:tabs>
        <w:tab w:val="clear" w:pos="720"/>
      </w:tabs>
    </w:pPr>
    <w:rPr>
      <w:sz w:val="20"/>
    </w:rPr>
  </w:style>
  <w:style w:type="paragraph" w:styleId="body1">
    <w:name w:val="body1"/>
    <w:basedOn w:val="Normal"/>
    <w:qFormat/>
    <w:pPr>
      <w:keepLines/>
      <w:tabs>
        <w:tab w:val="clear" w:pos="720"/>
      </w:tabs>
      <w:spacing w:before="0" w:after="240"/>
    </w:pPr>
    <w:rPr>
      <w:rFonts w:ascii="Times New Roman" w:hAnsi="Times New Roman" w:cs="Times New Roman"/>
      <w:sz w:val="20"/>
    </w:rPr>
  </w:style>
  <w:style w:type="paragraph" w:styleId="bullet">
    <w:name w:val="bullet"/>
    <w:basedOn w:val="Normal"/>
    <w:qFormat/>
    <w:pPr>
      <w:keepLines/>
      <w:tabs>
        <w:tab w:val="clear" w:pos="720"/>
      </w:tabs>
      <w:spacing w:before="0" w:after="240"/>
      <w:ind w:hanging="720" w:start="720" w:end="0"/>
    </w:pPr>
    <w:rPr>
      <w:rFonts w:ascii="Times New Roman" w:hAnsi="Times New Roman" w:cs="Times New Roman"/>
      <w:sz w:val="20"/>
    </w:rPr>
  </w:style>
  <w:style w:type="paragraph" w:styleId="bulletindent1">
    <w:name w:val="bullet indent 1"/>
    <w:basedOn w:val="bullet"/>
    <w:qFormat/>
    <w:pPr>
      <w:ind w:hanging="720" w:start="1440" w:end="0"/>
    </w:pPr>
    <w:rPr/>
  </w:style>
  <w:style w:type="paragraph" w:styleId="bulletindent2">
    <w:name w:val="bullet indent 2"/>
    <w:basedOn w:val="bulletindent1"/>
    <w:qFormat/>
    <w:pPr>
      <w:ind w:hanging="720" w:start="2160" w:end="0"/>
    </w:pPr>
    <w:rPr/>
  </w:style>
  <w:style w:type="paragraph" w:styleId="bulletindent3">
    <w:name w:val="bullet indent 3"/>
    <w:basedOn w:val="bulletindent2"/>
    <w:qFormat/>
    <w:pPr>
      <w:ind w:hanging="720" w:start="2880" w:end="0"/>
    </w:pPr>
    <w:rPr/>
  </w:style>
  <w:style w:type="paragraph" w:styleId="centre">
    <w:name w:val="centre"/>
    <w:basedOn w:val="Normal"/>
    <w:qFormat/>
    <w:pPr>
      <w:keepLines/>
      <w:tabs>
        <w:tab w:val="clear" w:pos="720"/>
      </w:tabs>
      <w:spacing w:before="0" w:after="240"/>
      <w:jc w:val="center"/>
    </w:pPr>
    <w:rPr>
      <w:rFonts w:ascii="Times New Roman" w:hAnsi="Times New Roman" w:cs="Times New Roman"/>
      <w:b/>
    </w:rPr>
  </w:style>
  <w:style w:type="paragraph" w:styleId="close">
    <w:name w:val="close"/>
    <w:basedOn w:val="Normal"/>
    <w:qFormat/>
    <w:pPr>
      <w:keepLines/>
      <w:tabs>
        <w:tab w:val="clear" w:pos="720"/>
      </w:tabs>
    </w:pPr>
    <w:rPr>
      <w:rFonts w:ascii="Times New Roman" w:hAnsi="Times New Roman" w:cs="Times New Roman"/>
      <w:sz w:val="20"/>
    </w:rPr>
  </w:style>
  <w:style w:type="paragraph" w:styleId="headercont">
    <w:name w:val="headercont"/>
    <w:basedOn w:val="Header"/>
    <w:qFormat/>
    <w:pPr>
      <w:tabs>
        <w:tab w:val="clear" w:pos="5040"/>
        <w:tab w:val="clear" w:pos="10080"/>
        <w:tab w:val="center" w:pos="4962" w:leader="none"/>
        <w:tab w:val="right" w:pos="9923" w:leader="none"/>
      </w:tabs>
      <w:ind w:hanging="0" w:start="0" w:end="250"/>
      <w:jc w:val="end"/>
    </w:pPr>
    <w:rPr>
      <w:b/>
      <w:i/>
      <w:u w:val="single"/>
    </w:rPr>
  </w:style>
  <w:style w:type="paragraph" w:styleId="headertel">
    <w:name w:val="headertel"/>
    <w:basedOn w:val="Header"/>
    <w:qFormat/>
    <w:pPr>
      <w:tabs>
        <w:tab w:val="clear" w:pos="5040"/>
        <w:tab w:val="clear" w:pos="10080"/>
        <w:tab w:val="right" w:pos="7938" w:leader="none"/>
        <w:tab w:val="right" w:pos="9923" w:leader="none"/>
      </w:tabs>
      <w:ind w:hanging="0" w:start="0" w:end="-318"/>
    </w:pPr>
    <w:rPr>
      <w:b/>
      <w:i/>
    </w:rPr>
  </w:style>
  <w:style w:type="paragraph" w:styleId="journal">
    <w:name w:val="journal"/>
    <w:basedOn w:val="Normal"/>
    <w:qFormat/>
    <w:pPr>
      <w:keepLines/>
      <w:tabs>
        <w:tab w:val="left" w:pos="360" w:leader="none"/>
        <w:tab w:val="left" w:pos="720" w:leader="none"/>
        <w:tab w:val="left" w:pos="1080" w:leader="none"/>
        <w:tab w:val="decimal" w:pos="5760" w:leader="none"/>
        <w:tab w:val="decimal" w:pos="7200" w:leader="none"/>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2000-06-25T20:43:00Z</dcterms:created>
  <dc:creator>RSage</dc:creator>
  <dc:description/>
  <dc:language>en-CA</dc:language>
  <cp:lastModifiedBy>RSage</cp:lastModifiedBy>
  <cp:lastPrinted>2000-06-26T01:06:00Z</cp:lastPrinted>
  <dcterms:modified xsi:type="dcterms:W3CDTF">2000-06-26T07:21:00Z</dcterms:modified>
  <cp:revision>10</cp:revision>
  <dc:subject>Tractebel Meeting</dc:subject>
  <dc:title> </dc:title>
</cp:coreProperties>
</file>