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t>TO:  MARK HAEDICKE</w:t>
      </w:r>
    </w:p>
    <w:p>
      <w:pPr>
        <w:pStyle w:val="Normal"/>
        <w:jc w:val="both"/>
        <w:rPr>
          <w:sz w:val="22"/>
        </w:rPr>
      </w:pPr>
      <w:r>
        <w:rPr>
          <w:sz w:val="22"/>
        </w:rPr>
        <w:t>FROM:  MARY COOK</w:t>
      </w:r>
    </w:p>
    <w:p>
      <w:pPr>
        <w:pStyle w:val="Normal"/>
        <w:jc w:val="both"/>
        <w:rPr>
          <w:sz w:val="22"/>
        </w:rPr>
      </w:pPr>
      <w:r>
        <w:rPr>
          <w:sz w:val="22"/>
        </w:rPr>
        <w:t>9/25/2000</w:t>
      </w:r>
    </w:p>
    <w:p>
      <w:pPr>
        <w:pStyle w:val="Normal"/>
        <w:jc w:val="both"/>
        <w:rPr>
          <w:sz w:val="22"/>
        </w:rPr>
      </w:pPr>
      <w:r>
        <w:rPr>
          <w:sz w:val="22"/>
        </w:rPr>
      </w:r>
    </w:p>
    <w:p>
      <w:pPr>
        <w:pStyle w:val="Normal"/>
        <w:jc w:val="both"/>
        <w:rPr>
          <w:b/>
          <w:bCs/>
          <w:sz w:val="22"/>
        </w:rPr>
      </w:pPr>
      <w:r>
        <w:rPr>
          <w:b/>
          <w:bCs/>
          <w:sz w:val="22"/>
        </w:rPr>
        <w:t>RE:  UTILIZATION OF MG AS CLEARING/EXECUTING BROKER:  ISSUES</w:t>
      </w:r>
    </w:p>
    <w:p>
      <w:pPr>
        <w:pStyle w:val="Normal"/>
        <w:jc w:val="both"/>
        <w:rPr>
          <w:b/>
          <w:bCs/>
          <w:sz w:val="22"/>
        </w:rPr>
      </w:pPr>
      <w:r>
        <w:rPr>
          <w:b/>
          <w:bCs/>
          <w:sz w:val="22"/>
        </w:rPr>
      </w:r>
    </w:p>
    <w:p>
      <w:pPr>
        <w:pStyle w:val="Normal"/>
        <w:jc w:val="both"/>
        <w:rPr>
          <w:sz w:val="22"/>
        </w:rPr>
      </w:pPr>
      <w:r>
        <w:rPr>
          <w:sz w:val="22"/>
        </w:rPr>
        <w:t>Per voice message, in Mark Taylor's absence he asked that I provide you with a major issue list concerning Enron's trading affiliate utilization of MG as a clearing or executing broker.  It is our understanding that Arnold and Lavorato are currently considering this as the restriction upon such utilization terminates October 1.  Additionally, at the request of Lavorato, ENA finance has been working on a cash management analysis concerning broker fees, interest payment requirements on posted margin, return of posted margin, and advantages of lines of credit for margin (wherein initial margin is interest free or low cost).</w:t>
      </w:r>
    </w:p>
    <w:p>
      <w:pPr>
        <w:pStyle w:val="Normal"/>
        <w:jc w:val="both"/>
        <w:rPr>
          <w:sz w:val="22"/>
        </w:rPr>
      </w:pPr>
      <w:r>
        <w:rPr>
          <w:sz w:val="22"/>
        </w:rPr>
      </w:r>
    </w:p>
    <w:p>
      <w:pPr>
        <w:pStyle w:val="Normal"/>
        <w:jc w:val="both"/>
        <w:rPr>
          <w:b/>
          <w:bCs/>
          <w:sz w:val="22"/>
        </w:rPr>
      </w:pPr>
      <w:r>
        <w:rPr>
          <w:b/>
          <w:bCs/>
          <w:sz w:val="22"/>
        </w:rPr>
        <w:t>Issues</w:t>
      </w:r>
    </w:p>
    <w:p>
      <w:pPr>
        <w:pStyle w:val="Normal"/>
        <w:jc w:val="both"/>
        <w:rPr>
          <w:b/>
          <w:bCs/>
          <w:sz w:val="22"/>
        </w:rPr>
      </w:pPr>
      <w:r>
        <w:rPr>
          <w:b/>
          <w:bCs/>
          <w:sz w:val="22"/>
        </w:rPr>
      </w:r>
    </w:p>
    <w:p>
      <w:pPr>
        <w:pStyle w:val="Normal"/>
        <w:jc w:val="both"/>
        <w:rPr>
          <w:sz w:val="22"/>
        </w:rPr>
      </w:pPr>
      <w:r>
        <w:rPr>
          <w:sz w:val="22"/>
        </w:rPr>
        <w:t>MG is a "futures commission merchant."  As such it is subject to a variety of regulations by the CFTC, which include numerous reporting requirements.  If ENA (by example) were to contract with MG as a customer, the following would apply.</w:t>
      </w:r>
    </w:p>
    <w:p>
      <w:pPr>
        <w:pStyle w:val="Normal"/>
        <w:jc w:val="both"/>
        <w:rPr>
          <w:sz w:val="22"/>
        </w:rPr>
      </w:pPr>
      <w:r>
        <w:rPr>
          <w:sz w:val="22"/>
        </w:rPr>
      </w:r>
    </w:p>
    <w:p>
      <w:pPr>
        <w:pStyle w:val="Normal"/>
        <w:jc w:val="both"/>
        <w:rPr/>
      </w:pPr>
      <w:r>
        <w:rPr>
          <w:b/>
          <w:bCs/>
          <w:sz w:val="22"/>
        </w:rPr>
        <w:t>Risk Assessment Reporting/"Material Affiliated Person</w:t>
      </w:r>
      <w:r>
        <w:rPr>
          <w:sz w:val="22"/>
        </w:rPr>
        <w:t xml:space="preserve">."  Among other requirements, MG is required to file a number of reports, including organizational charts and financials.  If ENA contracts with MG as broker, ENA will be a "Material Affiliated Person" (MAP) which MG must identify to the CFTC in an organizational chart format.  As a result, MG would then have to file both </w:t>
      </w:r>
      <w:r>
        <w:rPr>
          <w:b/>
          <w:bCs/>
          <w:sz w:val="22"/>
        </w:rPr>
        <w:t>consolidated and consolidating</w:t>
      </w:r>
      <w:r>
        <w:rPr>
          <w:sz w:val="22"/>
        </w:rPr>
        <w:t xml:space="preserve"> year-end financial statements for the "highest level" MAP within its structure.  Further, upon notice from the CFTC, MG may be required to provide the CFTC with "additional information [it] determines is necessary for a complete understanding of a particular affiliate's financial impact on [MG's] organizational structure."  This additional information may include information that is not otherwise publicly available.</w:t>
      </w:r>
    </w:p>
    <w:p>
      <w:pPr>
        <w:pStyle w:val="Normal"/>
        <w:jc w:val="both"/>
        <w:rPr>
          <w:sz w:val="22"/>
        </w:rPr>
      </w:pPr>
      <w:r>
        <w:rPr>
          <w:sz w:val="22"/>
        </w:rPr>
      </w:r>
    </w:p>
    <w:p>
      <w:pPr>
        <w:pStyle w:val="Normal"/>
        <w:jc w:val="both"/>
        <w:rPr/>
      </w:pPr>
      <w:r>
        <w:rPr>
          <w:b/>
          <w:bCs/>
          <w:sz w:val="22"/>
        </w:rPr>
        <w:t>Proprietary Account</w:t>
      </w:r>
      <w:r>
        <w:rPr>
          <w:sz w:val="22"/>
        </w:rPr>
        <w:t xml:space="preserve">.  An ENA account is considered a "proprietary account."  As such, ENA funds are not protected as a segregated class as are other of MG's customer accounts.   As a proprietary account, ENA funds may be commingled as general funds of MG, subject to MG's investment policy and its creditors.  In bankruptcy, third party customer accounts have preference over proprietary accounts, which are subordinate thereto.    </w:t>
      </w:r>
    </w:p>
    <w:p>
      <w:pPr>
        <w:pStyle w:val="Normal"/>
        <w:jc w:val="both"/>
        <w:rPr>
          <w:sz w:val="22"/>
        </w:rPr>
      </w:pPr>
      <w:r>
        <w:rPr>
          <w:sz w:val="22"/>
        </w:rPr>
      </w:r>
    </w:p>
    <w:p>
      <w:pPr>
        <w:pStyle w:val="Normal"/>
        <w:jc w:val="both"/>
        <w:rPr/>
      </w:pPr>
      <w:r>
        <w:rPr>
          <w:b/>
          <w:bCs/>
          <w:sz w:val="22"/>
        </w:rPr>
        <w:t>Executing Broker</w:t>
      </w:r>
      <w:r>
        <w:rPr>
          <w:sz w:val="22"/>
        </w:rPr>
        <w:t>.  If MG were to act as an ENA executing broker, execution capabilities are restricted.  The orders of proprietary accounts must be placed after other third party customer orders that are executable at or near market.</w:t>
      </w:r>
    </w:p>
    <w:p>
      <w:pPr>
        <w:pStyle w:val="Normal"/>
        <w:jc w:val="both"/>
        <w:rPr>
          <w:sz w:val="22"/>
        </w:rPr>
      </w:pPr>
      <w:r>
        <w:rPr>
          <w:sz w:val="22"/>
        </w:rPr>
      </w:r>
    </w:p>
    <w:p>
      <w:pPr>
        <w:pStyle w:val="Normal"/>
        <w:jc w:val="both"/>
        <w:rPr/>
      </w:pPr>
      <w:r>
        <w:rPr>
          <w:b/>
          <w:bCs/>
          <w:sz w:val="22"/>
        </w:rPr>
        <w:t>Fees</w:t>
      </w:r>
      <w:r>
        <w:rPr>
          <w:sz w:val="22"/>
        </w:rPr>
        <w:t>.  Although ENA may benefit from some degree of reduced fees, ENA would not benefit from the level of fees which MG is required to charge as part of its commission that are rebated to the Exchange.</w:t>
      </w:r>
    </w:p>
    <w:p>
      <w:pPr>
        <w:pStyle w:val="Normal"/>
        <w:jc w:val="both"/>
        <w:rPr>
          <w:sz w:val="22"/>
        </w:rPr>
      </w:pPr>
      <w:r>
        <w:rPr>
          <w:sz w:val="22"/>
        </w:rPr>
      </w:r>
    </w:p>
    <w:p>
      <w:pPr>
        <w:pStyle w:val="Normal"/>
        <w:jc w:val="both"/>
        <w:rPr/>
      </w:pPr>
      <w:r>
        <w:rPr>
          <w:b/>
          <w:bCs/>
          <w:sz w:val="22"/>
        </w:rPr>
        <w:t>Practical Aspects</w:t>
      </w:r>
      <w:r>
        <w:rPr>
          <w:sz w:val="22"/>
        </w:rPr>
        <w:t xml:space="preserve">.  Query?  Would market gain knowledge of large Enron moves if it watches MG with "knowledge" that MG is one of our brokers? </w:t>
      </w:r>
    </w:p>
    <w:p>
      <w:pPr>
        <w:pStyle w:val="Normal"/>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/mnt/main-storage/datasets/enron-docs/doc/MG_as__Broker.doc</w:t>
    </w:r>
    <w:r>
      <w:rPr>
        <w:sz w:val="20"/>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2000-09-25T11:59:00Z</dcterms:created>
  <dc:creator>mcook</dc:creator>
  <dc:description/>
  <dc:language>en-CA</dc:language>
  <cp:lastModifiedBy>mcook</cp:lastModifiedBy>
  <cp:lastPrinted>2000-09-25T11:38:00Z</cp:lastPrinted>
  <dcterms:modified xsi:type="dcterms:W3CDTF">2000-09-25T14:10:00Z</dcterms:modified>
  <cp:revision>10</cp:revision>
  <dc:subject/>
  <dc:title/>
</cp:coreProperties>
</file>