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t>The registration status of MG entities are as follows: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w:t>
        <w:tab/>
        <w:t>MG London Inc., NFA ID: 0268706, registered as a Futures Commission Merchant ("FCM"), effective 2/1/96, and as a Commodity Trading Advisor ("CTA"), effective 6/19/96.  Principals include: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 xml:space="preserve">Flaherty, Brian Edward,   </w:t>
        <w:tab/>
        <w:tab/>
        <w:tab/>
        <w:t xml:space="preserve">Vice President </w:t>
      </w:r>
    </w:p>
    <w:p>
      <w:pPr>
        <w:pStyle w:val="Normal"/>
        <w:spacing w:lineRule="atLeast" w:line="240"/>
        <w:rPr>
          <w:rFonts w:ascii="Arial" w:hAnsi="Arial" w:cs="Arial"/>
          <w:color w:val="000000"/>
          <w:lang w:eastAsia="en-US"/>
        </w:rPr>
      </w:pPr>
      <w:r>
        <w:rPr>
          <w:rFonts w:cs="Arial" w:ascii="Arial" w:hAnsi="Arial"/>
          <w:color w:val="000000"/>
          <w:lang w:eastAsia="en-US"/>
        </w:rPr>
        <w:t xml:space="preserve">Hutchinson, Michael John,    </w:t>
        <w:tab/>
        <w:tab/>
        <w:t xml:space="preserve">Chairman     </w:t>
      </w:r>
    </w:p>
    <w:p>
      <w:pPr>
        <w:pStyle w:val="Normal"/>
        <w:spacing w:lineRule="atLeast" w:line="240"/>
        <w:rPr>
          <w:rFonts w:ascii="Arial" w:hAnsi="Arial" w:cs="Arial"/>
          <w:color w:val="000000"/>
          <w:lang w:eastAsia="en-US"/>
        </w:rPr>
      </w:pPr>
      <w:r>
        <w:rPr>
          <w:rFonts w:cs="Arial" w:ascii="Arial" w:hAnsi="Arial"/>
          <w:color w:val="000000"/>
          <w:lang w:eastAsia="en-US"/>
        </w:rPr>
        <w:t xml:space="preserve">Parra, Marcelo Xavier,    </w:t>
        <w:tab/>
        <w:tab/>
        <w:tab/>
        <w:t>SVP/Treasurer</w:t>
      </w:r>
    </w:p>
    <w:p>
      <w:pPr>
        <w:pStyle w:val="Normal"/>
        <w:spacing w:lineRule="atLeast" w:line="240"/>
        <w:rPr>
          <w:rFonts w:ascii="Arial" w:hAnsi="Arial" w:cs="Arial"/>
          <w:color w:val="000000"/>
          <w:lang w:eastAsia="en-US"/>
        </w:rPr>
      </w:pPr>
      <w:r>
        <w:rPr>
          <w:rFonts w:cs="Arial" w:ascii="Arial" w:hAnsi="Arial"/>
          <w:color w:val="000000"/>
          <w:lang w:eastAsia="en-US"/>
        </w:rPr>
        <w:t xml:space="preserve">Pennisi, Alfred Sebstian,  </w:t>
        <w:tab/>
        <w:tab/>
        <w:tab/>
        <w:t xml:space="preserve">VP-Operations </w:t>
      </w:r>
    </w:p>
    <w:p>
      <w:pPr>
        <w:pStyle w:val="Normal"/>
        <w:spacing w:lineRule="atLeast" w:line="240"/>
        <w:rPr>
          <w:rFonts w:ascii="Arial" w:hAnsi="Arial" w:cs="Arial"/>
          <w:color w:val="000000"/>
          <w:lang w:eastAsia="en-US"/>
        </w:rPr>
      </w:pPr>
      <w:r>
        <w:rPr>
          <w:rFonts w:cs="Arial" w:ascii="Arial" w:hAnsi="Arial"/>
          <w:color w:val="000000"/>
          <w:lang w:eastAsia="en-US"/>
        </w:rPr>
        <w:t xml:space="preserve">Pimpinelli, Thomas Joseph,  </w:t>
        <w:tab/>
        <w:tab/>
        <w:t xml:space="preserve">Sr. Vice President </w:t>
      </w:r>
    </w:p>
    <w:p>
      <w:pPr>
        <w:pStyle w:val="Normal"/>
        <w:spacing w:lineRule="atLeast" w:line="240"/>
        <w:rPr>
          <w:rFonts w:ascii="Arial" w:hAnsi="Arial" w:cs="Arial"/>
          <w:color w:val="000000"/>
          <w:lang w:eastAsia="en-US"/>
        </w:rPr>
      </w:pPr>
      <w:r>
        <w:rPr>
          <w:rFonts w:cs="Arial" w:ascii="Arial" w:hAnsi="Arial"/>
          <w:color w:val="000000"/>
          <w:lang w:eastAsia="en-US"/>
        </w:rPr>
        <w:t xml:space="preserve">Taylor, Arthur George,  </w:t>
        <w:tab/>
        <w:tab/>
        <w:tab/>
        <w:t xml:space="preserve">SVP/Gen Counsel/Sec </w:t>
      </w:r>
    </w:p>
    <w:p>
      <w:pPr>
        <w:pStyle w:val="Normal"/>
        <w:spacing w:lineRule="atLeast" w:line="240"/>
        <w:rPr>
          <w:rFonts w:ascii="Arial" w:hAnsi="Arial" w:cs="Arial"/>
          <w:color w:val="000000"/>
          <w:lang w:eastAsia="en-US"/>
        </w:rPr>
      </w:pPr>
      <w:r>
        <w:rPr>
          <w:rFonts w:cs="Arial" w:ascii="Arial" w:hAnsi="Arial"/>
          <w:color w:val="000000"/>
          <w:lang w:eastAsia="en-US"/>
        </w:rPr>
        <w:t xml:space="preserve">Tregar, David Paul,  </w:t>
        <w:tab/>
        <w:tab/>
        <w:tab/>
        <w:t>EVP/CFO</w:t>
      </w:r>
    </w:p>
    <w:p>
      <w:pPr>
        <w:pStyle w:val="Normal"/>
        <w:spacing w:lineRule="atLeast" w:line="240"/>
        <w:rPr>
          <w:rFonts w:ascii="Arial" w:hAnsi="Arial" w:cs="Arial"/>
          <w:color w:val="000000"/>
          <w:lang w:eastAsia="en-US"/>
        </w:rPr>
      </w:pPr>
      <w:r>
        <w:rPr>
          <w:rFonts w:cs="Arial" w:ascii="Arial" w:hAnsi="Arial"/>
          <w:color w:val="000000"/>
          <w:lang w:eastAsia="en-US"/>
        </w:rPr>
        <w:t xml:space="preserve">Young, Craig Elon, </w:t>
        <w:tab/>
        <w:tab/>
        <w:tab/>
        <w:tab/>
        <w:t xml:space="preserve">President/CEO </w:t>
      </w:r>
    </w:p>
    <w:p>
      <w:pPr>
        <w:pStyle w:val="Normal"/>
        <w:spacing w:lineRule="atLeast" w:line="240"/>
        <w:rPr>
          <w:rFonts w:ascii="Arial" w:hAnsi="Arial" w:cs="Arial"/>
          <w:color w:val="000000"/>
          <w:lang w:eastAsia="en-US"/>
        </w:rPr>
      </w:pPr>
      <w:r>
        <w:rPr>
          <w:rFonts w:cs="Arial" w:ascii="Arial" w:hAnsi="Arial"/>
          <w:color w:val="000000"/>
          <w:lang w:eastAsia="en-US"/>
        </w:rPr>
        <w:t>MG Trade Services Holdings Inc.</w:t>
        <w:tab/>
        <w:tab/>
        <w:t>Principal.</w:t>
      </w:r>
    </w:p>
    <w:p>
      <w:pPr>
        <w:pStyle w:val="Normal"/>
        <w:spacing w:lineRule="atLeast" w:line="240"/>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rPr>
          <w:rFonts w:ascii="Arial" w:hAnsi="Arial" w:cs="Arial"/>
          <w:color w:val="000000"/>
          <w:lang w:eastAsia="en-US"/>
        </w:rPr>
      </w:pPr>
      <w:r>
        <w:rPr>
          <w:rFonts w:cs="Arial" w:ascii="Arial" w:hAnsi="Arial"/>
          <w:color w:val="000000"/>
          <w:lang w:eastAsia="en-US"/>
        </w:rPr>
        <w:t>2)</w:t>
        <w:tab/>
        <w:t>MG Trading Services Inc., NFA ID: 0263722, registered as an Introducing Broker ("IB"), effective 3/27/97, as a Commodity Pool Operator ("CPO"), effective 4/22/98, and as a CTA, effective 12/26/98.  Principals include: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 xml:space="preserve">Pennisi, Alfred Sebstian, </w:t>
        <w:tab/>
        <w:tab/>
        <w:tab/>
        <w:t>VP-Operations</w:t>
      </w:r>
    </w:p>
    <w:p>
      <w:pPr>
        <w:pStyle w:val="Normal"/>
        <w:spacing w:lineRule="atLeast" w:line="240"/>
        <w:rPr>
          <w:rFonts w:ascii="Arial" w:hAnsi="Arial" w:cs="Arial"/>
          <w:color w:val="000000"/>
          <w:lang w:eastAsia="en-US"/>
        </w:rPr>
      </w:pPr>
      <w:r>
        <w:rPr>
          <w:rFonts w:cs="Arial" w:ascii="Arial" w:hAnsi="Arial"/>
          <w:color w:val="000000"/>
          <w:lang w:eastAsia="en-US"/>
        </w:rPr>
        <w:t xml:space="preserve">Taylor, Arthur George, </w:t>
        <w:tab/>
        <w:tab/>
        <w:tab/>
        <w:t>SEC/General Counsel</w:t>
      </w:r>
    </w:p>
    <w:p>
      <w:pPr>
        <w:pStyle w:val="Normal"/>
        <w:spacing w:lineRule="atLeast" w:line="240"/>
        <w:rPr>
          <w:rFonts w:ascii="Arial" w:hAnsi="Arial" w:cs="Arial"/>
          <w:color w:val="000000"/>
          <w:lang w:eastAsia="en-US"/>
        </w:rPr>
      </w:pPr>
      <w:r>
        <w:rPr>
          <w:rFonts w:cs="Arial" w:ascii="Arial" w:hAnsi="Arial"/>
          <w:color w:val="000000"/>
          <w:lang w:eastAsia="en-US"/>
        </w:rPr>
        <w:t xml:space="preserve">Young, Craig Elon, </w:t>
        <w:tab/>
        <w:tab/>
        <w:tab/>
        <w:tab/>
        <w:t>President</w:t>
      </w:r>
    </w:p>
    <w:p>
      <w:pPr>
        <w:pStyle w:val="Normal"/>
        <w:spacing w:lineRule="atLeast" w:line="240"/>
        <w:rPr>
          <w:rFonts w:ascii="Arial" w:hAnsi="Arial" w:cs="Arial"/>
          <w:color w:val="000000"/>
          <w:lang w:eastAsia="en-US"/>
        </w:rPr>
      </w:pPr>
      <w:r>
        <w:rPr>
          <w:rFonts w:cs="Arial" w:ascii="Arial" w:hAnsi="Arial"/>
          <w:color w:val="000000"/>
          <w:lang w:eastAsia="en-US"/>
        </w:rPr>
        <w:t xml:space="preserve">Metallgesellschaft AG  </w:t>
        <w:tab/>
        <w:tab/>
        <w:tab/>
        <w:t>Principal</w:t>
      </w:r>
    </w:p>
    <w:p>
      <w:pPr>
        <w:pStyle w:val="Normal"/>
        <w:spacing w:lineRule="atLeast" w:line="240"/>
        <w:rPr>
          <w:rFonts w:ascii="Arial" w:hAnsi="Arial" w:cs="Arial"/>
          <w:color w:val="000000"/>
          <w:lang w:eastAsia="en-US"/>
        </w:rPr>
      </w:pPr>
      <w:r>
        <w:rPr>
          <w:rFonts w:cs="Arial" w:ascii="Arial" w:hAnsi="Arial"/>
          <w:color w:val="000000"/>
          <w:lang w:eastAsia="en-US"/>
        </w:rPr>
        <w:t xml:space="preserve">MG Handel Holdings </w:t>
        <w:tab/>
        <w:tab/>
        <w:tab/>
        <w:t xml:space="preserve">Principal (Holds 10% Or More Financial </w:t>
        <w:tab/>
        <w:tab/>
        <w:tab/>
        <w:tab/>
        <w:tab/>
        <w:tab/>
        <w:tab/>
        <w:t>Interest).</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3)</w:t>
        <w:tab/>
        <w:t>MG Brokers Ltd., formerly known as: Billiton Metals Ltd.; Billiton-Enthoven Metals Ltd., NFA ID: 0209462, approved as an exempt foreign firm, effective 7/15/92.  No principals are currently listed with the NFA.  The Main Office address is:</w:t>
      </w:r>
    </w:p>
    <w:p>
      <w:pPr>
        <w:pStyle w:val="Normal"/>
        <w:spacing w:lineRule="atLeast" w:line="240"/>
        <w:rPr>
          <w:rFonts w:ascii="Arial" w:hAnsi="Arial" w:cs="Arial"/>
          <w:color w:val="000000"/>
          <w:lang w:eastAsia="en-US"/>
        </w:rPr>
      </w:pPr>
      <w:r>
        <w:rPr>
          <w:rFonts w:cs="Arial" w:ascii="Arial" w:hAnsi="Arial"/>
          <w:color w:val="000000"/>
          <w:lang w:eastAsia="en-US"/>
        </w:rPr>
        <w:t>MG BROKERS LIMITED</w:t>
      </w:r>
    </w:p>
    <w:p>
      <w:pPr>
        <w:pStyle w:val="Normal"/>
        <w:spacing w:lineRule="atLeast" w:line="240"/>
        <w:rPr>
          <w:rFonts w:ascii="Arial" w:hAnsi="Arial" w:cs="Arial"/>
          <w:color w:val="000000"/>
          <w:lang w:eastAsia="en-US"/>
        </w:rPr>
      </w:pPr>
      <w:r>
        <w:rPr>
          <w:rFonts w:cs="Arial" w:ascii="Arial" w:hAnsi="Arial"/>
          <w:color w:val="000000"/>
          <w:lang w:eastAsia="en-US"/>
        </w:rPr>
        <w:t>ONE AMERICA SQUARE</w:t>
      </w:r>
    </w:p>
    <w:p>
      <w:pPr>
        <w:pStyle w:val="Normal"/>
        <w:spacing w:lineRule="atLeast" w:line="240"/>
        <w:rPr>
          <w:rFonts w:ascii="Arial" w:hAnsi="Arial" w:cs="Arial"/>
          <w:color w:val="000000"/>
          <w:lang w:eastAsia="en-US"/>
        </w:rPr>
      </w:pPr>
      <w:r>
        <w:rPr>
          <w:rFonts w:cs="Arial" w:ascii="Arial" w:hAnsi="Arial"/>
          <w:color w:val="000000"/>
          <w:lang w:eastAsia="en-US"/>
        </w:rPr>
        <w:t>17 CROSSWALL</w:t>
      </w:r>
    </w:p>
    <w:p>
      <w:pPr>
        <w:pStyle w:val="Normal"/>
        <w:spacing w:lineRule="atLeast" w:line="240"/>
        <w:rPr>
          <w:rFonts w:ascii="Arial" w:hAnsi="Arial" w:cs="Arial"/>
          <w:color w:val="000000"/>
          <w:lang w:eastAsia="en-US"/>
        </w:rPr>
      </w:pPr>
      <w:r>
        <w:rPr>
          <w:rFonts w:cs="Arial" w:ascii="Arial" w:hAnsi="Arial"/>
          <w:color w:val="000000"/>
          <w:lang w:eastAsia="en-US"/>
        </w:rPr>
        <w:t>LONDON, IL  EC3N -2PT</w:t>
      </w:r>
    </w:p>
    <w:p>
      <w:pPr>
        <w:pStyle w:val="Normal"/>
        <w:spacing w:lineRule="atLeast" w:line="240"/>
        <w:rPr>
          <w:rFonts w:ascii="Arial" w:hAnsi="Arial" w:cs="Arial"/>
          <w:color w:val="000000"/>
          <w:lang w:eastAsia="en-US"/>
        </w:rPr>
      </w:pPr>
      <w:r>
        <w:rPr>
          <w:rFonts w:cs="Arial" w:ascii="Arial" w:hAnsi="Arial"/>
          <w:color w:val="000000"/>
          <w:lang w:eastAsia="en-US"/>
        </w:rPr>
        <w:t>171-860-8300.</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 - - - -</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As a result of the change in structure, certain of the MG companies may have to make the following filings with the US Commodity Futures Trading Commission:</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Pursuant to Section 1.15 of the CFTC's Regulations, MG London Inc., as an FCM, may have to submit to the CFTC an updated risk assessment filing, including an organizational chart designating "Material Affiliated Persons," and copies of the financial, operational, and risk management policies, procedures and systems (pursuant to the requirements of Section 1.14 of the CFTC's Regulations) when there is a material change in the foregoing information.  The risk assessment filing must be made within sixty (60) calendar days after the end of the fiscal quarter in which the change has occurred.</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MG London Inc., as a CTA, and MG Trading Services Inc., as a CTA and a CPO, may have to update their disclosure documents in accordance with Sections 4.26 and 4.36 of the CFTC's Regulations, which state that if the CPO or CTA becomes aware that any information in the disclosure documents is materially inaccurate or incomplete in any respect, they must correct that defect and distribute the correction to all existing pool participants or existing CTA clients, as well as file two copies of the amendment to the disclosure documents with the CFTC, within 21 calendar days of the date upon which the CPO or CTA becomes aware, or has reason to know, of the defect.  Therefore, if the acquisition materially alters any information given in MG's disclosure documents, an amendment to the documents must be filed with the CFTC and sent to all existing pool participants or existing CTA clients.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sectPr>
      <w:headerReference w:type="default" r:id="rId2"/>
      <w:headerReference w:type="first" r:id="rId3"/>
      <w:footerReference w:type="default" r:id="rId4"/>
      <w:footerReference w:type="first" r:id="rId5"/>
      <w:type w:val="nextPage"/>
      <w:pgSz w:w="12240" w:h="15840"/>
      <w:pgMar w:left="1728" w:right="172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2000-08-28T21:06:00Z</dcterms:created>
  <dc:creator>MW&amp;E</dc:creator>
  <dc:description/>
  <dc:language>en-CA</dc:language>
  <cp:lastModifiedBy>MWEuser</cp:lastModifiedBy>
  <cp:lastPrinted>2000-08-28T15:01:00Z</cp:lastPrinted>
  <dcterms:modified xsi:type="dcterms:W3CDTF">2000-08-28T21:06:00Z</dcterms:modified>
  <cp:revision>2</cp:revision>
  <dc:subject/>
  <dc:title>Registration status of MG entities:</dc:title>
</cp:coreProperties>
</file>