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embeddings/oleObject13.bin" ContentType="application/vnd.openxmlformats-officedocument.oleObject"/>
  <Override PartName="/word/embeddings/oleObject12.bin" ContentType="application/vnd.openxmlformats-officedocument.oleObject"/>
  <Override PartName="/word/embeddings/oleObject15.bin" ContentType="application/vnd.openxmlformats-officedocument.oleObject"/>
  <Override PartName="/word/embeddings/oleObject2.bin" ContentType="application/vnd.openxmlformats-officedocument.oleObject"/>
  <Override PartName="/word/embeddings/oleObject14.bin" ContentType="application/vnd.openxmlformats-officedocument.oleObject"/>
  <Override PartName="/word/embeddings/oleObject1.xlsx" ContentType="application/vnd.openxmlformats-officedocument.spreadsheetml.sheet"/>
  <Override PartName="/word/embeddings/oleObject7.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media/image13.wmf" ContentType="image/x-wmf"/>
  <Override PartName="/word/media/image4.wmf" ContentType="image/x-wmf"/>
  <Override PartName="/word/media/image14.wmf" ContentType="image/x-wmf"/>
  <Override PartName="/word/media/image5.wmf" ContentType="image/x-wmf"/>
  <Override PartName="/word/media/image15.wmf" ContentType="image/x-wmf"/>
  <Override PartName="/word/media/image6.wmf" ContentType="image/x-wmf"/>
  <Override PartName="/word/media/image10.wmf" ContentType="image/x-wmf"/>
  <Override PartName="/word/media/image1.wmf" ContentType="image/x-wmf"/>
  <Override PartName="/word/media/image7.wmf" ContentType="image/x-wmf"/>
  <Override PartName="/word/media/image11.wmf" ContentType="image/x-wmf"/>
  <Override PartName="/word/media/image2.wmf" ContentType="image/x-wmf"/>
  <Override PartName="/word/media/image8.wmf" ContentType="image/x-wmf"/>
  <Override PartName="/word/media/image12.wmf" ContentType="image/x-wmf"/>
  <Override PartName="/word/media/image3.wmf" ContentType="image/x-wmf"/>
  <Override PartName="/word/media/image9.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
        <w:jc w:val="both"/>
        <w:rPr>
          <w:rFonts w:ascii="Arial" w:hAnsi="Arial" w:cs="Arial"/>
        </w:rPr>
      </w:pPr>
      <w:r>
        <w:rPr>
          <w:rFonts w:cs="Arial" w:ascii="Arial" w:hAnsi="Arial"/>
        </w:rPr>
        <w:t>MG US Operations – Secondary Aluminium Business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b/>
          <w:i/>
          <w:sz w:val="24"/>
        </w:rPr>
        <w:t>Business</w:t>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History</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Scrap Aluminium trading was started in 1991 with the purchase of a trading operation based in Chicago. This has been extended upon by the creation of a scrap copper trading operation in St Louis in January 2000. The St Louis office has not been visited but we are informed that it is run in a similar manner to Chicago.</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remote offices handle trading, contract admin and logistics, The back office support (accounting, control, cash management and risk analysis) is carried out in New York.</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Management is looking to globalise the scrap business and has had meetings with all scrap traders in the group.</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following analysis focuses on the scrap business and Aluminium alloys (i.e. secondary Aluminium, as the agency business has been considered as part of the New York Metals agency review). It should be noted that the primary Aluminium trading has increased as a proportion of the Chicago office’s business and is now larger than the scrap metal business.</w:t>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Market</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Pure (Primary) Aluminium is typically 99.7% pure. The naming of the grade reflects the amount of Silicon and Iron present. For example PT1020 (or A7E if from Russia) contains 0.1% silicon and 0.2% Iron. North America is short pure Aluminium and imported about 800,000 tones last year. The agency business focuses on the pure Primary Aluminium only (which may include certain types of billet).</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As well as the quality, the form of the material can be important, depending upon the location, as certain markets prefer ingots to sows and T-Bars.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When moving away from the pure aluminium there are approximately 2 to 3 thousand different grades that MG may trade. The Mid-West provides the base value of products. The valuation systems of the business do not value all grades independently – groupings are made for practicality purposes.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MG trades the premium on the various grades and does not take on large underlying price risk exposure. This is achieved by hedging the underlying price risk with the LME using standard contracts. A typical trade approach therefore may be to buy a product that has a negative premium to the LME when the spread is large, hedge the position by selling LME contracts forward and then closing out when the spread tightens. This can be clearly seen on the following graph – the net inflow due from the start of the deal is $300 and net outflow, when closed out with tightened spread, $100.</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bookmarkStart w:id="0" w:name="_1023166263"/>
      <w:bookmarkStart w:id="1" w:name="_1023164868"/>
      <w:bookmarkStart w:id="2" w:name="_1023164846"/>
      <w:bookmarkStart w:id="3" w:name="_1023164573"/>
      <w:bookmarkEnd w:id="0"/>
      <w:bookmarkEnd w:id="1"/>
      <w:bookmarkEnd w:id="2"/>
      <w:bookmarkEnd w:id="3"/>
      <w:r>
        <w:rPr>
          <w:rFonts w:cs="Arial" w:ascii="Arial" w:hAnsi="Arial"/>
        </w:rPr>
        <w:object w:dxaOrig="9045" w:dyaOrig="459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334.9pt;height:164.45pt" filled="f" o:ole="">
            <v:imagedata r:id="rId3" o:title=""/>
          </v:shape>
          <o:OLEObject Type="Embed" ProgID="Excel.Sheet.12" ShapeID="ole_rId2" DrawAspect="Content" ObjectID="_209136729" r:id="rId2"/>
        </w:object>
      </w:r>
    </w:p>
    <w:p>
      <w:pPr>
        <w:pStyle w:val="Normal"/>
        <w:jc w:val="both"/>
        <w:rPr>
          <w:rFonts w:ascii="Arial" w:hAnsi="Arial" w:cs="Arial"/>
        </w:rPr>
      </w:pPr>
      <w:r>
        <w:rPr>
          <w:rFonts w:cs="Arial" w:ascii="Arial" w:hAnsi="Arial"/>
        </w:rPr>
      </w:r>
    </w:p>
    <w:p>
      <w:pPr>
        <w:pStyle w:val="BodyText"/>
        <w:rPr>
          <w:rFonts w:ascii="Arial" w:hAnsi="Arial" w:cs="Arial"/>
        </w:rPr>
      </w:pPr>
      <w:r>
        <w:rPr>
          <w:rFonts w:cs="Arial" w:ascii="Arial" w:hAnsi="Arial"/>
        </w:rPr>
        <w:t>The scrap metal (secondary) business involves moving small amounts of material, typically 30 tons. There are various types of scrap. These range from specific grades in billet/ingot form etc to the specific waste generated by the canned drink industry (the production process generates approximately 22% waste).</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Example Graded scrap:</w:t>
      </w:r>
    </w:p>
    <w:p>
      <w:pPr>
        <w:pStyle w:val="Normal"/>
        <w:numPr>
          <w:ilvl w:val="0"/>
          <w:numId w:val="10"/>
        </w:numPr>
        <w:jc w:val="both"/>
        <w:rPr>
          <w:rFonts w:ascii="Arial" w:hAnsi="Arial" w:cs="Arial"/>
        </w:rPr>
      </w:pPr>
      <w:r>
        <w:rPr>
          <w:rFonts w:cs="Arial" w:ascii="Arial" w:hAnsi="Arial"/>
        </w:rPr>
        <w:t>356 billets – used in the alloy wheel business. MG distributes as an agent (but actually purchases the material) for a Russian producer.</w:t>
      </w:r>
    </w:p>
    <w:p>
      <w:pPr>
        <w:pStyle w:val="Normal"/>
        <w:numPr>
          <w:ilvl w:val="0"/>
          <w:numId w:val="10"/>
        </w:numPr>
        <w:jc w:val="both"/>
        <w:rPr>
          <w:rFonts w:ascii="Arial" w:hAnsi="Arial" w:cs="Arial"/>
        </w:rPr>
      </w:pPr>
      <w:r>
        <w:rPr>
          <w:rFonts w:cs="Arial" w:ascii="Arial" w:hAnsi="Arial"/>
        </w:rPr>
        <w:t>AK5, AB87- Base metals in ingot or sow form alloyed to a certain degree. These are sold to secondary smelters who will produce specification alloys.</w:t>
      </w:r>
    </w:p>
    <w:p>
      <w:pPr>
        <w:pStyle w:val="Normal"/>
        <w:numPr>
          <w:ilvl w:val="0"/>
          <w:numId w:val="10"/>
        </w:numPr>
        <w:jc w:val="both"/>
        <w:rPr>
          <w:rFonts w:ascii="Arial" w:hAnsi="Arial" w:cs="Arial"/>
        </w:rPr>
      </w:pPr>
      <w:r>
        <w:rPr>
          <w:rFonts w:cs="Arial" w:ascii="Arial" w:hAnsi="Arial"/>
        </w:rPr>
        <w:t>AS380 – US specification alloy.</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Drink industry waste.</w:t>
      </w:r>
    </w:p>
    <w:p>
      <w:pPr>
        <w:pStyle w:val="Normal"/>
        <w:numPr>
          <w:ilvl w:val="0"/>
          <w:numId w:val="12"/>
        </w:numPr>
        <w:jc w:val="both"/>
        <w:rPr>
          <w:rFonts w:ascii="Arial" w:hAnsi="Arial" w:cs="Arial"/>
        </w:rPr>
      </w:pPr>
      <w:r>
        <w:rPr>
          <w:rFonts w:cs="Arial" w:ascii="Arial" w:hAnsi="Arial"/>
        </w:rPr>
        <w:t xml:space="preserve">Class 1 – waste from punched sheets used for drinks cans (not decorated). </w:t>
      </w:r>
    </w:p>
    <w:p>
      <w:pPr>
        <w:pStyle w:val="Normal"/>
        <w:numPr>
          <w:ilvl w:val="0"/>
          <w:numId w:val="12"/>
        </w:numPr>
        <w:jc w:val="both"/>
        <w:rPr>
          <w:rFonts w:ascii="Arial" w:hAnsi="Arial" w:cs="Arial"/>
        </w:rPr>
      </w:pPr>
      <w:r>
        <w:rPr>
          <w:rFonts w:cs="Arial" w:ascii="Arial" w:hAnsi="Arial"/>
        </w:rPr>
        <w:t>Class 2 – waste from lids (different grade of Aluminium)</w:t>
      </w:r>
    </w:p>
    <w:p>
      <w:pPr>
        <w:pStyle w:val="Normal"/>
        <w:numPr>
          <w:ilvl w:val="0"/>
          <w:numId w:val="12"/>
        </w:numPr>
        <w:jc w:val="both"/>
        <w:rPr>
          <w:rFonts w:ascii="Arial" w:hAnsi="Arial" w:cs="Arial"/>
        </w:rPr>
      </w:pPr>
      <w:r>
        <w:rPr>
          <w:rFonts w:cs="Arial" w:ascii="Arial" w:hAnsi="Arial"/>
        </w:rPr>
        <w:t>Class 3 - waste from bodies drinks cans (decorated)</w:t>
      </w:r>
    </w:p>
    <w:p>
      <w:pPr>
        <w:pStyle w:val="Normal"/>
        <w:numPr>
          <w:ilvl w:val="0"/>
          <w:numId w:val="12"/>
        </w:numPr>
        <w:jc w:val="both"/>
        <w:rPr>
          <w:rFonts w:ascii="Arial" w:hAnsi="Arial" w:cs="Arial"/>
        </w:rPr>
      </w:pPr>
      <w:r>
        <w:rPr>
          <w:rFonts w:cs="Arial" w:ascii="Arial" w:hAnsi="Arial"/>
        </w:rPr>
        <w:t>UBC – Used Beverage Cans</w:t>
      </w:r>
    </w:p>
    <w:p>
      <w:pPr>
        <w:pStyle w:val="Normal"/>
        <w:numPr>
          <w:ilvl w:val="0"/>
          <w:numId w:val="12"/>
        </w:numPr>
        <w:jc w:val="both"/>
        <w:rPr>
          <w:rFonts w:ascii="Arial" w:hAnsi="Arial" w:cs="Arial"/>
        </w:rPr>
      </w:pPr>
      <w:r>
        <w:rPr>
          <w:rFonts w:cs="Arial" w:ascii="Arial" w:hAnsi="Arial"/>
        </w:rPr>
        <w:t>RSI – Re-melt  specification ingots</w:t>
      </w:r>
    </w:p>
    <w:p>
      <w:pPr>
        <w:pStyle w:val="Normal"/>
        <w:jc w:val="both"/>
        <w:rPr>
          <w:rFonts w:ascii="Arial" w:hAnsi="Arial" w:cs="Arial"/>
        </w:rPr>
      </w:pPr>
      <w:r>
        <w:rPr>
          <w:rFonts w:cs="Arial" w:ascii="Arial" w:hAnsi="Arial"/>
        </w:rPr>
      </w:r>
    </w:p>
    <w:p>
      <w:pPr>
        <w:pStyle w:val="BodyText"/>
        <w:rPr>
          <w:rFonts w:ascii="Arial" w:hAnsi="Arial" w:cs="Arial"/>
        </w:rPr>
      </w:pPr>
      <w:r>
        <w:rPr>
          <w:rFonts w:cs="Arial" w:ascii="Arial" w:hAnsi="Arial"/>
        </w:rPr>
        <w:t>The traders tend to focus on the clean scrap i.e. class 1, as this results in less issues on quality of product.</w:t>
      </w:r>
    </w:p>
    <w:p>
      <w:pPr>
        <w:pStyle w:val="BodyText"/>
        <w:rPr>
          <w:rFonts w:ascii="Arial" w:hAnsi="Arial" w:cs="Arial"/>
        </w:rPr>
      </w:pPr>
      <w:r>
        <w:rPr>
          <w:rFonts w:cs="Arial" w:ascii="Arial" w:hAnsi="Arial"/>
        </w:rPr>
      </w:r>
    </w:p>
    <w:p>
      <w:pPr>
        <w:pStyle w:val="Normal"/>
        <w:jc w:val="both"/>
        <w:rPr>
          <w:rFonts w:ascii="Arial" w:hAnsi="Arial" w:cs="Arial"/>
        </w:rPr>
      </w:pPr>
      <w:r>
        <w:rPr>
          <w:rFonts w:cs="Arial" w:ascii="Arial" w:hAnsi="Arial"/>
          <w:b/>
          <w:i/>
          <w:sz w:val="24"/>
        </w:rPr>
        <w:t>Controls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following provide a high level view. More detail is contained in Appendix 1, a breakdown of roles &amp; responsibilities by person &amp; Appendix 2, the completed Doorstep review form.</w:t>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Deal Entry</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Incoming e-mails are routed to all 3 traders PCs. The trader produces a contract note (see Appendix 3) that is faxed to New York and passed to traffic who then enter into their traffic log (a spreadsheet for each deal, see Appendix 6). The contract note is then used by contracts to enter summary data into the logbook and produce the confirmation (see Appendix 4) using the Access based system. The confirmation is reviewed and signed off by the trader.  Copies of the confirmation are placed on file and sent to New York and the customer. Customers are requested to return signed confirmations but negative confirmation is used.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New York enters the contract into the WANG system.  Contracts in Chicago are also currently entering the deal into the AS400 in parallel. Daily volumes range from nil to ten.</w:t>
      </w:r>
    </w:p>
    <w:p>
      <w:pPr>
        <w:pStyle w:val="Normal"/>
        <w:jc w:val="both"/>
        <w:rPr>
          <w:rFonts w:ascii="Arial" w:hAnsi="Arial" w:cs="Arial"/>
        </w:rPr>
      </w:pPr>
      <w:r>
        <w:rPr>
          <w:rFonts w:cs="Arial" w:ascii="Arial" w:hAnsi="Arial"/>
        </w:rPr>
      </w:r>
    </w:p>
    <w:p>
      <w:pPr>
        <w:pStyle w:val="BodyText"/>
        <w:rPr>
          <w:rFonts w:ascii="Arial" w:hAnsi="Arial" w:cs="Arial"/>
        </w:rPr>
      </w:pPr>
      <w:r>
        <w:rPr>
          <w:rFonts w:cs="Arial" w:ascii="Arial" w:hAnsi="Arial"/>
        </w:rPr>
        <w:t>The Chicago Access system is reconciled daily to the WANG system by a member of Louis Colarusso’s team (Kathy Gagel). Derek also prints off the inventory report from the WANG on a weekly basis and reconciles to his daily positions reports (see Appendix 11) which are maintained in excel  (these are updated by Derek daily for movements).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To allow the traders to more effectively manage the business there are several reports produced by Derek on a bi-weekly basis. These are:</w:t>
      </w:r>
    </w:p>
    <w:p>
      <w:pPr>
        <w:pStyle w:val="Normal"/>
        <w:jc w:val="both"/>
        <w:rPr>
          <w:rFonts w:ascii="Arial" w:hAnsi="Arial" w:cs="Arial"/>
        </w:rPr>
      </w:pPr>
      <w:r>
        <w:rPr>
          <w:rFonts w:cs="Arial" w:ascii="Arial" w:hAnsi="Arial"/>
        </w:rPr>
      </w:r>
    </w:p>
    <w:p>
      <w:pPr>
        <w:pStyle w:val="Normal"/>
        <w:numPr>
          <w:ilvl w:val="0"/>
          <w:numId w:val="11"/>
        </w:numPr>
        <w:jc w:val="both"/>
        <w:rPr>
          <w:rFonts w:ascii="Arial" w:hAnsi="Arial" w:cs="Arial"/>
        </w:rPr>
      </w:pPr>
      <w:r>
        <w:rPr>
          <w:rFonts w:cs="Arial" w:ascii="Arial" w:hAnsi="Arial"/>
        </w:rPr>
        <w:t>the scrap position summary which shows inventory and forward positions summarised by month (see Appendix 10)</w:t>
      </w:r>
    </w:p>
    <w:p>
      <w:pPr>
        <w:pStyle w:val="Normal"/>
        <w:numPr>
          <w:ilvl w:val="0"/>
          <w:numId w:val="11"/>
        </w:numPr>
        <w:jc w:val="both"/>
        <w:rPr>
          <w:rFonts w:ascii="Arial" w:hAnsi="Arial" w:cs="Arial"/>
        </w:rPr>
      </w:pPr>
      <w:r>
        <w:rPr>
          <w:rFonts w:cs="Arial" w:ascii="Arial" w:hAnsi="Arial"/>
        </w:rPr>
        <w:t>the detail position summary which breaks down positions by location and forward month (see Appendix 8)</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reports are maintained in excel and updated with volumes from contracts.</w:t>
      </w:r>
    </w:p>
    <w:p>
      <w:pPr>
        <w:pStyle w:val="Normal"/>
        <w:ind w:firstLine="45" w:end="0"/>
        <w:jc w:val="both"/>
        <w:rPr>
          <w:rFonts w:ascii="Arial" w:hAnsi="Arial" w:cs="Arial"/>
        </w:rPr>
      </w:pPr>
      <w:r>
        <w:rPr>
          <w:rFonts w:cs="Arial" w:ascii="Arial" w:hAnsi="Arial"/>
        </w:rPr>
      </w:r>
    </w:p>
    <w:p>
      <w:pPr>
        <w:pStyle w:val="BodyText"/>
        <w:rPr>
          <w:rFonts w:ascii="Arial" w:hAnsi="Arial" w:cs="Arial"/>
        </w:rPr>
      </w:pPr>
      <w:r>
        <w:rPr>
          <w:rFonts w:cs="Arial" w:ascii="Arial" w:hAnsi="Arial"/>
        </w:rPr>
        <w:t>The business is not regulated and hence phone lines are not recorded. For hedging trades on the LME MGL Inc is used along with other brokers.</w:t>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Traffic</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Traffic makes use of the Access based systems for logistics purposes. This provides inventory by location and daily management reports but is not used for AP/AR.</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Material is stored at numerous locations. Material has to be stored correctly as water present in certain types of Aluminium can causes explosions when the metal is being treated.</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Warehouse inventories are reconciled twice yearly. Differences may arise due to:</w:t>
      </w:r>
    </w:p>
    <w:p>
      <w:pPr>
        <w:pStyle w:val="Normal"/>
        <w:numPr>
          <w:ilvl w:val="0"/>
          <w:numId w:val="2"/>
        </w:numPr>
        <w:jc w:val="both"/>
        <w:rPr>
          <w:rFonts w:ascii="Arial" w:hAnsi="Arial" w:cs="Arial"/>
        </w:rPr>
      </w:pPr>
      <w:r>
        <w:rPr>
          <w:rFonts w:cs="Arial" w:ascii="Arial" w:hAnsi="Arial"/>
        </w:rPr>
        <w:t>Entry errors</w:t>
      </w:r>
    </w:p>
    <w:p>
      <w:pPr>
        <w:pStyle w:val="Normal"/>
        <w:numPr>
          <w:ilvl w:val="0"/>
          <w:numId w:val="2"/>
        </w:numPr>
        <w:jc w:val="both"/>
        <w:rPr>
          <w:rFonts w:ascii="Arial" w:hAnsi="Arial" w:cs="Arial"/>
        </w:rPr>
      </w:pPr>
      <w:r>
        <w:rPr>
          <w:rFonts w:cs="Arial" w:ascii="Arial" w:hAnsi="Arial"/>
        </w:rPr>
        <w:t>Customer invoices wrong amount</w:t>
      </w:r>
    </w:p>
    <w:p>
      <w:pPr>
        <w:pStyle w:val="Normal"/>
        <w:numPr>
          <w:ilvl w:val="0"/>
          <w:numId w:val="4"/>
        </w:numPr>
        <w:jc w:val="both"/>
        <w:rPr>
          <w:rFonts w:ascii="Arial" w:hAnsi="Arial" w:cs="Arial"/>
        </w:rPr>
      </w:pPr>
      <w:r>
        <w:rPr>
          <w:rFonts w:cs="Arial" w:ascii="Arial" w:hAnsi="Arial"/>
        </w:rPr>
        <w:t>Weighing scale calibration  differences</w:t>
      </w:r>
    </w:p>
    <w:p>
      <w:pPr>
        <w:pStyle w:val="Normal"/>
        <w:jc w:val="both"/>
        <w:rPr>
          <w:rFonts w:ascii="Arial" w:hAnsi="Arial" w:cs="Arial"/>
        </w:rPr>
      </w:pPr>
      <w:r>
        <w:rPr>
          <w:rFonts w:cs="Arial" w:ascii="Arial" w:hAnsi="Arial"/>
        </w:rPr>
        <w:t xml:space="preserve">Inventory reports are obtained from the WANG system for this (see Appendix 12). Where the trading has had treatment work carried out on materials a conversion report (see Appendix 13) is produced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Traffic monitors the invoicing of consignment stock using the open contract list (see Appendix 15).</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Traffic for the primary Aluminium agency business is carried out in New York by Bob Klyde.</w:t>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Settlements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Traffic is responsible for raising invoices using the Access system and passing them onto to trading for authorisation and contracts for checking. Once complete, contracts send the invoice (see Appendix 7) to file, New York and the customer. Any adjustments to invoices are notified to third parties by use of an Invoice Adjustment note (see Appendix 5). Invoices in New York are entered into the WANG system by Kathy Gagel. This downloads to SAP to generate the AR/AP.</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Incoming purchase/sales orders from third parties are agreed to original documentation by traffic. Any discrepancies are notified to the trader and escalated accordingly. Metals invoices are agreed to Bills of Lading. Each invoice must then be authorised for payment (authorisation limits are set by New York) and sent to New York. It is then entered into the WANG system and hence downloaded to SAP.</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Monitoring of AR/AP is carried out by contracts in Chicago in conjunction with cash management and accounting in New York. Downloads are taken from SAP twice weekly and copies of payment details faxed from New York daily. Chicago contracts chase amounts due and provide assistance to New York for allocations of cash where it is not clear.</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Some of the invoices for the primary Aluminium (&amp; billets) are still generated in Chicago, as the move to the agency set-up is recent.  </w:t>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Credit</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traders must make a credit application (see Appendix 9) prior to trading with a new counterparty. If the deal is concluded before approval is received (2 days for US, longer for international) then the terms and conditions laid down in the contract stipulate prepayment for material subject to credit approval.</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credit function is run on a part time basis in New York. Credit is not able to see exposures until they are invoiced and hence there is a lack of timeliness to the credit monitoring. In addition there is no summary of exposure combined with limits provided to Chicago – a monthly summary of limits is supplied. This means that credit limit violations are managed retrospectively with credit requesting the traders reduce exposure once a limit has been exceeded.</w:t>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Accounting</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All accounting is carried out in the New York office, using the WANG systems and SAP for the secondary business, and in London for the Agency business.</w:t>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Cash Management</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Cash management is carried out in the New York office for the secondary business. There is a petty cash account maintained locally in Chicago that can be authorised by local staff.</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primary business cash management mainly takes place in London. There may be some secondary costs paid out of New York.</w:t>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Position Risk Control</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WANG system feeds both MERCUR which is used for global risk management review in London, and the Daily Market Cards which are reviewed by trade accounting in New York (Louis Colarusso). Louis also informally checks the position against the position limits. There is the ability to stress test the positions but attention is focused on the concentrates business.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Mark to Market of premiums is carried out twice monthly (see Appendix 14) however the underlying LME prices are MTM each day.  Louis aims to understand the market by review of the daily position report from Derek. When the premiums are updated bi-weekly, Louis discusses changes with the traders.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r>
        <w:br w:type="page"/>
      </w:r>
    </w:p>
    <w:p>
      <w:pPr>
        <w:pStyle w:val="Normal"/>
        <w:jc w:val="both"/>
        <w:rPr>
          <w:rFonts w:ascii="Arial" w:hAnsi="Arial" w:cs="Arial"/>
        </w:rPr>
      </w:pPr>
      <w:r>
        <w:rPr>
          <w:rFonts w:cs="Arial" w:ascii="Arial" w:hAnsi="Arial"/>
          <w:b/>
          <w:i/>
          <w:sz w:val="24"/>
        </w:rPr>
        <w:t>Organisation</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object w:dxaOrig="5750" w:dyaOrig="26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35.55pt;height:190.45pt" filled="f" o:ole="">
            <v:imagedata r:id="rId5" o:title=""/>
          </v:shape>
          <o:OLEObject Type="Embed" ProgID="" ShapeID="ole_rId4" DrawAspect="Content" ObjectID="_1453082379" r:id="rId4"/>
        </w:object>
      </w:r>
    </w:p>
    <w:p>
      <w:pPr>
        <w:pStyle w:val="Normal"/>
        <w:jc w:val="both"/>
        <w:rPr>
          <w:rFonts w:ascii="Arial" w:hAnsi="Arial" w:cs="Arial"/>
        </w:rPr>
      </w:pPr>
      <w:r>
        <w:rPr>
          <w:rFonts w:cs="Arial" w:ascii="Arial" w:hAnsi="Arial"/>
        </w:rPr>
        <w:t>The office is very tightly knit with Robert being the newest employee having joined 3 years ago. David and Robert are the main traders and originate the supplies of metal. Derek trades for approximately 20% of the time in support of David and Robert. Specific job functions are defined in Appendix 1.</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traders cover all areas, however the bias is:</w:t>
      </w:r>
    </w:p>
    <w:p>
      <w:pPr>
        <w:pStyle w:val="Normal"/>
        <w:jc w:val="both"/>
        <w:rPr>
          <w:rFonts w:ascii="Arial" w:hAnsi="Arial" w:cs="Arial"/>
        </w:rPr>
      </w:pPr>
      <w:r>
        <w:rPr>
          <w:rFonts w:cs="Arial" w:ascii="Arial" w:hAnsi="Arial"/>
        </w:rPr>
        <w:t>David Rosenblum – secondary Aluminium and Aluminium Alloys. 24 years in the scrap metal business, 9 of which have been with MG.</w:t>
      </w:r>
    </w:p>
    <w:p>
      <w:pPr>
        <w:pStyle w:val="Normal"/>
        <w:jc w:val="both"/>
        <w:rPr>
          <w:rFonts w:ascii="Arial" w:hAnsi="Arial" w:cs="Arial"/>
        </w:rPr>
      </w:pPr>
      <w:r>
        <w:rPr>
          <w:rFonts w:cs="Arial" w:ascii="Arial" w:hAnsi="Arial"/>
        </w:rPr>
        <w:t>Robert Uxa – primary Aluminium agency trading. Extensive experience in the scrap metal trade.</w:t>
      </w:r>
    </w:p>
    <w:p>
      <w:pPr>
        <w:pStyle w:val="Normal"/>
        <w:jc w:val="both"/>
        <w:rPr>
          <w:rFonts w:ascii="Arial" w:hAnsi="Arial" w:cs="Arial"/>
        </w:rPr>
      </w:pPr>
      <w:r>
        <w:rPr>
          <w:rFonts w:cs="Arial" w:ascii="Arial" w:hAnsi="Arial"/>
        </w:rPr>
        <w:t>Derek Van Duesen – LME hedging and support to David &amp; Robert. 7 years at MG.</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St Louis operation is staffed by two traders and one admin assistant.</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Chicago office reports into Sam Hainsworth in London due the primary Aluminium agency business and to Joe Robertson in New York for the secondary business.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b/>
          <w:i/>
          <w:sz w:val="24"/>
        </w:rPr>
        <w:t>Systems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u w:val="single"/>
        </w:rPr>
        <w:t>Scrap Metal trading (Secondary Al &amp; Cu) &amp; Aluminium alloys (for car alloy wheels)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Trading:</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The trading system currently used is programmed in COBOL on a WANG computer. This is in the process of being transferred to the AS 400, with dual deal input currently being carried out. </w:t>
      </w:r>
    </w:p>
    <w:p>
      <w:pPr>
        <w:pStyle w:val="Normal"/>
        <w:jc w:val="both"/>
        <w:rPr/>
      </w:pPr>
      <w:r>
        <w:rPr>
          <w:rFonts w:cs="Arial" w:ascii="Arial" w:hAnsi="Arial"/>
        </w:rPr>
        <w:t>Target date for rollout to AS400 is 1</w:t>
      </w:r>
      <w:r>
        <w:rPr>
          <w:rFonts w:cs="Arial" w:ascii="Arial" w:hAnsi="Arial"/>
          <w:vertAlign w:val="superscript"/>
        </w:rPr>
        <w:t>st</w:t>
      </w:r>
      <w:r>
        <w:rPr>
          <w:rFonts w:cs="Arial" w:ascii="Arial" w:hAnsi="Arial"/>
        </w:rPr>
        <w:t xml:space="preserve"> October 2000 (start of financial year).</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Logistics: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The WANG system has not provided sufficient logistics functionality for the scrap metal business. As a result there is an Access based system used in Chicago for all contract admin and logistics. This system was written by Derek Van Heusen and will be replaced by the AS400 when its roll out is complete.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Spreadsheets are also extensively used.</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A concern of the trading management is getting personnel to believe the AS400 will be able logistics satisfactorily.</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Accounting:</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The WANG system provides data downloads to the SAP system maintained in NY.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u w:val="single"/>
        </w:rPr>
        <w:t>Agency business by MCC Corp (Aluminium, Copper &amp; Zinc) for MCC</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Deal input is directly into the AS400 as used in the London trading. This is carried out in New York for the Chicago office. </w:t>
      </w:r>
    </w:p>
    <w:p>
      <w:pPr>
        <w:pStyle w:val="Normal"/>
        <w:jc w:val="both"/>
        <w:rPr>
          <w:rFonts w:ascii="Arial" w:hAnsi="Arial" w:cs="Arial"/>
        </w:rPr>
      </w:pPr>
      <w:r>
        <w:rPr>
          <w:rFonts w:cs="Arial" w:ascii="Arial" w:hAnsi="Arial"/>
        </w:rPr>
      </w:r>
    </w:p>
    <w:p>
      <w:pPr>
        <w:pStyle w:val="Heading5"/>
        <w:ind w:hanging="0" w:start="0"/>
        <w:rPr>
          <w:rFonts w:ascii="Arial" w:hAnsi="Arial" w:cs="Arial"/>
        </w:rPr>
      </w:pPr>
      <w:r>
        <w:rPr>
          <w:rFonts w:cs="Arial" w:ascii="Arial" w:hAnsi="Arial"/>
        </w:rPr>
        <w:t>Conclusion</w:t>
      </w:r>
    </w:p>
    <w:p>
      <w:pPr>
        <w:pStyle w:val="Normal"/>
        <w:jc w:val="both"/>
        <w:rPr>
          <w:rFonts w:ascii="Arial" w:hAnsi="Arial" w:cs="Arial"/>
          <w:b/>
          <w:i/>
          <w:i/>
          <w:sz w:val="24"/>
        </w:rPr>
      </w:pPr>
      <w:r>
        <w:rPr>
          <w:rFonts w:cs="Arial" w:ascii="Arial" w:hAnsi="Arial"/>
          <w:b/>
          <w:i/>
          <w:sz w:val="24"/>
        </w:rPr>
      </w:r>
    </w:p>
    <w:p>
      <w:pPr>
        <w:pStyle w:val="BodyText"/>
        <w:rPr>
          <w:rFonts w:ascii="Arial" w:hAnsi="Arial" w:cs="Arial"/>
        </w:rPr>
      </w:pPr>
      <w:r>
        <w:rPr>
          <w:rFonts w:cs="Arial" w:ascii="Arial" w:hAnsi="Arial"/>
        </w:rPr>
        <w:t>The remote nature of the Chicago office combined with the trading and logistics functions being very closely related does not fit into best practice for control of remote offices.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remapping of tasks will need to be assessed in detail in conjunction with a risk reward assessment factoring in what Enron seeks to obtain from the acquired business. Any move to remove trading functionality form the office will need to take account of the closely knit relationships in the office and the level of agency business generated.</w:t>
      </w:r>
      <w:r>
        <w:br w:type="page"/>
      </w:r>
    </w:p>
    <w:p>
      <w:pPr>
        <w:pStyle w:val="Normal"/>
        <w:jc w:val="both"/>
        <w:rPr>
          <w:rFonts w:ascii="Arial" w:hAnsi="Arial" w:cs="Arial"/>
          <w:b/>
          <w:sz w:val="24"/>
          <w:u w:val="single"/>
        </w:rPr>
      </w:pPr>
      <w:r>
        <w:rPr>
          <w:rFonts w:cs="Arial" w:ascii="Arial" w:hAnsi="Arial"/>
          <w:b/>
          <w:sz w:val="24"/>
          <w:u w:val="single"/>
        </w:rPr>
        <w:t>Appendix 1 – Roles &amp; Responsibilities</w:t>
      </w:r>
    </w:p>
    <w:p>
      <w:pPr>
        <w:pStyle w:val="Normal"/>
        <w:jc w:val="both"/>
        <w:rPr>
          <w:rFonts w:ascii="Arial" w:hAnsi="Arial" w:cs="Arial"/>
          <w:b/>
          <w:sz w:val="24"/>
          <w:u w:val="single"/>
        </w:rPr>
      </w:pPr>
      <w:r>
        <w:rPr>
          <w:rFonts w:cs="Arial" w:ascii="Arial" w:hAnsi="Arial"/>
          <w:b/>
          <w:sz w:val="24"/>
          <w:u w:val="single"/>
        </w:rPr>
      </w:r>
    </w:p>
    <w:p>
      <w:pPr>
        <w:pStyle w:val="Heading1"/>
        <w:ind w:hanging="0" w:start="0"/>
        <w:rPr>
          <w:rFonts w:ascii="Arial" w:hAnsi="Arial" w:cs="Arial"/>
        </w:rPr>
      </w:pPr>
      <w:r>
        <w:rPr>
          <w:rFonts w:cs="Arial" w:ascii="Arial" w:hAnsi="Arial"/>
        </w:rPr>
        <w:t>Trader (David Rosenblum and Robert Uxa)</w:t>
      </w:r>
    </w:p>
    <w:p>
      <w:pPr>
        <w:pStyle w:val="Normal"/>
        <w:jc w:val="both"/>
        <w:rPr>
          <w:rFonts w:ascii="Arial" w:hAnsi="Arial" w:cs="Arial"/>
        </w:rPr>
      </w:pPr>
      <w:r>
        <w:rPr>
          <w:rFonts w:cs="Arial" w:ascii="Arial" w:hAnsi="Arial"/>
        </w:rPr>
      </w:r>
    </w:p>
    <w:p>
      <w:pPr>
        <w:pStyle w:val="Normal"/>
        <w:numPr>
          <w:ilvl w:val="0"/>
          <w:numId w:val="6"/>
        </w:numPr>
        <w:jc w:val="both"/>
        <w:rPr>
          <w:rFonts w:ascii="Arial" w:hAnsi="Arial" w:cs="Arial"/>
        </w:rPr>
      </w:pPr>
      <w:r>
        <w:rPr>
          <w:rFonts w:cs="Arial" w:ascii="Arial" w:hAnsi="Arial"/>
        </w:rPr>
        <w:t>Obtaining credit approval for new customers</w:t>
      </w:r>
    </w:p>
    <w:p>
      <w:pPr>
        <w:pStyle w:val="Normal"/>
        <w:numPr>
          <w:ilvl w:val="0"/>
          <w:numId w:val="6"/>
        </w:numPr>
        <w:jc w:val="both"/>
        <w:rPr>
          <w:rFonts w:ascii="Arial" w:hAnsi="Arial" w:cs="Arial"/>
        </w:rPr>
      </w:pPr>
      <w:r>
        <w:rPr>
          <w:rFonts w:cs="Arial" w:ascii="Arial" w:hAnsi="Arial"/>
        </w:rPr>
        <w:t>Raising contract tickets</w:t>
      </w:r>
    </w:p>
    <w:p>
      <w:pPr>
        <w:pStyle w:val="Normal"/>
        <w:numPr>
          <w:ilvl w:val="0"/>
          <w:numId w:val="6"/>
        </w:numPr>
        <w:jc w:val="both"/>
        <w:rPr>
          <w:rFonts w:ascii="Arial" w:hAnsi="Arial" w:cs="Arial"/>
        </w:rPr>
      </w:pPr>
      <w:r>
        <w:rPr>
          <w:rFonts w:cs="Arial" w:ascii="Arial" w:hAnsi="Arial"/>
        </w:rPr>
        <w:t>Raising LME tickets</w:t>
      </w:r>
    </w:p>
    <w:p>
      <w:pPr>
        <w:pStyle w:val="Normal"/>
        <w:numPr>
          <w:ilvl w:val="0"/>
          <w:numId w:val="6"/>
        </w:numPr>
        <w:jc w:val="both"/>
        <w:rPr>
          <w:rFonts w:ascii="Arial" w:hAnsi="Arial" w:cs="Arial"/>
        </w:rPr>
      </w:pPr>
      <w:r>
        <w:rPr>
          <w:rFonts w:cs="Arial" w:ascii="Arial" w:hAnsi="Arial"/>
        </w:rPr>
        <w:t>Verifying and signing confirmations</w:t>
      </w:r>
    </w:p>
    <w:p>
      <w:pPr>
        <w:pStyle w:val="Normal"/>
        <w:numPr>
          <w:ilvl w:val="0"/>
          <w:numId w:val="6"/>
        </w:numPr>
        <w:jc w:val="both"/>
        <w:rPr>
          <w:rFonts w:ascii="Arial" w:hAnsi="Arial" w:cs="Arial"/>
        </w:rPr>
      </w:pPr>
      <w:r>
        <w:rPr>
          <w:rFonts w:cs="Arial" w:ascii="Arial" w:hAnsi="Arial"/>
        </w:rPr>
        <w:t>Signing off on payments</w:t>
      </w:r>
    </w:p>
    <w:p>
      <w:pPr>
        <w:pStyle w:val="Normal"/>
        <w:numPr>
          <w:ilvl w:val="0"/>
          <w:numId w:val="6"/>
        </w:numPr>
        <w:jc w:val="both"/>
        <w:rPr>
          <w:rFonts w:ascii="Arial" w:hAnsi="Arial" w:cs="Arial"/>
        </w:rPr>
      </w:pPr>
      <w:r>
        <w:rPr>
          <w:rFonts w:cs="Arial" w:ascii="Arial" w:hAnsi="Arial"/>
        </w:rPr>
        <w:t>Chasing customer issues not resolved by traffic</w:t>
      </w:r>
    </w:p>
    <w:p>
      <w:pPr>
        <w:pStyle w:val="Normal"/>
        <w:numPr>
          <w:ilvl w:val="0"/>
          <w:numId w:val="6"/>
        </w:numPr>
        <w:jc w:val="both"/>
        <w:rPr>
          <w:rFonts w:ascii="Arial" w:hAnsi="Arial" w:cs="Arial"/>
        </w:rPr>
      </w:pPr>
      <w:r>
        <w:rPr>
          <w:rFonts w:cs="Arial" w:ascii="Arial" w:hAnsi="Arial"/>
        </w:rPr>
        <w:t>Managing positions as a group strategy</w:t>
      </w:r>
    </w:p>
    <w:p>
      <w:pPr>
        <w:pStyle w:val="Normal"/>
        <w:numPr>
          <w:ilvl w:val="0"/>
          <w:numId w:val="6"/>
        </w:numPr>
        <w:jc w:val="both"/>
        <w:rPr>
          <w:rFonts w:ascii="Arial" w:hAnsi="Arial" w:cs="Arial"/>
        </w:rPr>
      </w:pPr>
      <w:r>
        <w:rPr>
          <w:rFonts w:cs="Arial" w:ascii="Arial" w:hAnsi="Arial"/>
        </w:rPr>
        <w:t>Negotiating agent commissions</w:t>
      </w:r>
    </w:p>
    <w:p>
      <w:pPr>
        <w:pStyle w:val="Normal"/>
        <w:numPr>
          <w:ilvl w:val="0"/>
          <w:numId w:val="6"/>
        </w:numPr>
        <w:jc w:val="both"/>
        <w:rPr>
          <w:rFonts w:ascii="Arial" w:hAnsi="Arial" w:cs="Arial"/>
        </w:rPr>
      </w:pPr>
      <w:r>
        <w:rPr>
          <w:rFonts w:cs="Arial" w:ascii="Arial" w:hAnsi="Arial"/>
        </w:rPr>
        <w:t>Authorise any changes to terms &amp; conditions that traffic are negotiating on (any Qty, date of delivery or price changes requires a  contract amendment form)</w:t>
      </w:r>
    </w:p>
    <w:p>
      <w:pPr>
        <w:pStyle w:val="Normal"/>
        <w:numPr>
          <w:ilvl w:val="0"/>
          <w:numId w:val="6"/>
        </w:numPr>
        <w:jc w:val="both"/>
        <w:rPr>
          <w:rFonts w:ascii="Arial" w:hAnsi="Arial" w:cs="Arial"/>
        </w:rPr>
      </w:pPr>
      <w:r>
        <w:rPr>
          <w:rFonts w:cs="Arial" w:ascii="Arial" w:hAnsi="Arial"/>
        </w:rPr>
        <w:t>Review position reports</w:t>
      </w:r>
    </w:p>
    <w:p>
      <w:pPr>
        <w:pStyle w:val="Normal"/>
        <w:numPr>
          <w:ilvl w:val="0"/>
          <w:numId w:val="6"/>
        </w:numPr>
        <w:jc w:val="both"/>
        <w:rPr>
          <w:rFonts w:ascii="Arial" w:hAnsi="Arial" w:cs="Arial"/>
        </w:rPr>
      </w:pPr>
      <w:r>
        <w:rPr>
          <w:rFonts w:cs="Arial" w:ascii="Arial" w:hAnsi="Arial"/>
        </w:rPr>
        <w:t>Negotiate chartering of ships with London</w:t>
      </w:r>
    </w:p>
    <w:p>
      <w:pPr>
        <w:pStyle w:val="Normal"/>
        <w:numPr>
          <w:ilvl w:val="0"/>
          <w:numId w:val="6"/>
        </w:numPr>
        <w:jc w:val="both"/>
        <w:rPr>
          <w:rFonts w:ascii="Arial" w:hAnsi="Arial" w:cs="Arial"/>
        </w:rPr>
      </w:pPr>
      <w:r>
        <w:rPr>
          <w:rFonts w:cs="Arial" w:ascii="Arial" w:hAnsi="Arial"/>
        </w:rPr>
        <w:t>Negotiating conversion contracts (i.e. processing known as Tolling) using blanket forms supplied by NY legal department.</w:t>
      </w:r>
    </w:p>
    <w:p>
      <w:pPr>
        <w:pStyle w:val="Normal"/>
        <w:numPr>
          <w:ilvl w:val="0"/>
          <w:numId w:val="6"/>
        </w:numPr>
        <w:jc w:val="both"/>
        <w:rPr>
          <w:rFonts w:ascii="Arial" w:hAnsi="Arial" w:cs="Arial"/>
        </w:rPr>
      </w:pPr>
      <w:r>
        <w:rPr>
          <w:rFonts w:cs="Arial" w:ascii="Arial" w:hAnsi="Arial"/>
        </w:rPr>
        <w:t>Negotiating consignment contracts</w:t>
      </w:r>
    </w:p>
    <w:p>
      <w:pPr>
        <w:pStyle w:val="Normal"/>
        <w:jc w:val="both"/>
        <w:rPr>
          <w:rFonts w:ascii="Arial" w:hAnsi="Arial" w:cs="Arial"/>
        </w:rPr>
      </w:pPr>
      <w:r>
        <w:rPr>
          <w:rFonts w:cs="Arial" w:ascii="Arial" w:hAnsi="Arial"/>
        </w:rPr>
      </w:r>
    </w:p>
    <w:p>
      <w:pPr>
        <w:pStyle w:val="Normal"/>
        <w:jc w:val="both"/>
        <w:rPr>
          <w:rFonts w:ascii="Arial" w:hAnsi="Arial" w:cs="Arial"/>
          <w:b/>
        </w:rPr>
      </w:pPr>
      <w:r>
        <w:rPr>
          <w:rFonts w:cs="Arial" w:ascii="Arial" w:hAnsi="Arial"/>
          <w:b/>
        </w:rPr>
        <w:t>Assistant Trader, Logistics/Office Manager (Derek Van Duesen)</w:t>
      </w:r>
    </w:p>
    <w:p>
      <w:pPr>
        <w:pStyle w:val="Normal"/>
        <w:jc w:val="both"/>
        <w:rPr>
          <w:rFonts w:ascii="Arial" w:hAnsi="Arial" w:cs="Arial"/>
          <w:b/>
        </w:rPr>
      </w:pPr>
      <w:r>
        <w:rPr>
          <w:rFonts w:cs="Arial" w:ascii="Arial" w:hAnsi="Arial"/>
          <w:b/>
        </w:rPr>
      </w:r>
    </w:p>
    <w:p>
      <w:pPr>
        <w:pStyle w:val="Normal"/>
        <w:numPr>
          <w:ilvl w:val="0"/>
          <w:numId w:val="3"/>
        </w:numPr>
        <w:jc w:val="both"/>
        <w:rPr>
          <w:rFonts w:ascii="Arial" w:hAnsi="Arial" w:cs="Arial"/>
        </w:rPr>
      </w:pPr>
      <w:r>
        <w:rPr>
          <w:rFonts w:cs="Arial" w:ascii="Arial" w:hAnsi="Arial"/>
        </w:rPr>
        <w:t>Manage positions with traders</w:t>
      </w:r>
    </w:p>
    <w:p>
      <w:pPr>
        <w:pStyle w:val="Normal"/>
        <w:numPr>
          <w:ilvl w:val="0"/>
          <w:numId w:val="3"/>
        </w:numPr>
        <w:jc w:val="both"/>
        <w:rPr>
          <w:rFonts w:ascii="Arial" w:hAnsi="Arial" w:cs="Arial"/>
        </w:rPr>
      </w:pPr>
      <w:r>
        <w:rPr>
          <w:rFonts w:cs="Arial" w:ascii="Arial" w:hAnsi="Arial"/>
        </w:rPr>
        <w:t>Bulk of LME hedging</w:t>
      </w:r>
    </w:p>
    <w:p>
      <w:pPr>
        <w:pStyle w:val="Normal"/>
        <w:numPr>
          <w:ilvl w:val="0"/>
          <w:numId w:val="3"/>
        </w:numPr>
        <w:jc w:val="both"/>
        <w:rPr>
          <w:rFonts w:ascii="Arial" w:hAnsi="Arial" w:cs="Arial"/>
        </w:rPr>
      </w:pPr>
      <w:r>
        <w:rPr>
          <w:rFonts w:cs="Arial" w:ascii="Arial" w:hAnsi="Arial"/>
        </w:rPr>
        <w:t>Track positions on position reports</w:t>
      </w:r>
    </w:p>
    <w:p>
      <w:pPr>
        <w:pStyle w:val="Normal"/>
        <w:numPr>
          <w:ilvl w:val="0"/>
          <w:numId w:val="3"/>
        </w:numPr>
        <w:jc w:val="both"/>
        <w:rPr>
          <w:rFonts w:ascii="Arial" w:hAnsi="Arial" w:cs="Arial"/>
        </w:rPr>
      </w:pPr>
      <w:r>
        <w:rPr>
          <w:rFonts w:cs="Arial" w:ascii="Arial" w:hAnsi="Arial"/>
        </w:rPr>
        <w:t>Monitoring of un-priced contracts – entering of process into risk management systems and notifying contracts of need to confirm price</w:t>
      </w:r>
    </w:p>
    <w:p>
      <w:pPr>
        <w:pStyle w:val="Normal"/>
        <w:numPr>
          <w:ilvl w:val="0"/>
          <w:numId w:val="3"/>
        </w:numPr>
        <w:jc w:val="both"/>
        <w:rPr>
          <w:rFonts w:ascii="Arial" w:hAnsi="Arial" w:cs="Arial"/>
        </w:rPr>
      </w:pPr>
      <w:r>
        <w:rPr>
          <w:rFonts w:cs="Arial" w:ascii="Arial" w:hAnsi="Arial"/>
        </w:rPr>
        <w:t>Supervise traffic department</w:t>
      </w:r>
    </w:p>
    <w:p>
      <w:pPr>
        <w:pStyle w:val="Normal"/>
        <w:numPr>
          <w:ilvl w:val="0"/>
          <w:numId w:val="3"/>
        </w:numPr>
        <w:jc w:val="both"/>
        <w:rPr>
          <w:rFonts w:ascii="Arial" w:hAnsi="Arial" w:cs="Arial"/>
        </w:rPr>
      </w:pPr>
      <w:r>
        <w:rPr>
          <w:rFonts w:cs="Arial" w:ascii="Arial" w:hAnsi="Arial"/>
        </w:rPr>
        <w:t>Supervise office support</w:t>
      </w:r>
    </w:p>
    <w:p>
      <w:pPr>
        <w:pStyle w:val="Normal"/>
        <w:numPr>
          <w:ilvl w:val="0"/>
          <w:numId w:val="3"/>
        </w:numPr>
        <w:jc w:val="both"/>
        <w:rPr>
          <w:rFonts w:ascii="Arial" w:hAnsi="Arial" w:cs="Arial"/>
        </w:rPr>
      </w:pPr>
      <w:r>
        <w:rPr>
          <w:rFonts w:cs="Arial" w:ascii="Arial" w:hAnsi="Arial"/>
        </w:rPr>
        <w:t>IT – backups, applications, Access system development and support, local rep liaison with NY support</w:t>
      </w:r>
    </w:p>
    <w:p>
      <w:pPr>
        <w:pStyle w:val="Normal"/>
        <w:numPr>
          <w:ilvl w:val="0"/>
          <w:numId w:val="3"/>
        </w:numPr>
        <w:jc w:val="both"/>
        <w:rPr>
          <w:rFonts w:ascii="Arial" w:hAnsi="Arial" w:cs="Arial"/>
        </w:rPr>
      </w:pPr>
      <w:r>
        <w:rPr>
          <w:rFonts w:cs="Arial" w:ascii="Arial" w:hAnsi="Arial"/>
        </w:rPr>
        <w:t>Manage office services e.g. telephones</w:t>
      </w:r>
    </w:p>
    <w:p>
      <w:pPr>
        <w:pStyle w:val="Normal"/>
        <w:numPr>
          <w:ilvl w:val="0"/>
          <w:numId w:val="3"/>
        </w:numPr>
        <w:jc w:val="both"/>
        <w:rPr>
          <w:rFonts w:ascii="Arial" w:hAnsi="Arial" w:cs="Arial"/>
        </w:rPr>
      </w:pPr>
      <w:r>
        <w:rPr>
          <w:rFonts w:cs="Arial" w:ascii="Arial" w:hAnsi="Arial"/>
        </w:rPr>
        <w:t>Entry of LME trades into AS400 (all LME trading via MGL)</w:t>
      </w:r>
    </w:p>
    <w:p>
      <w:pPr>
        <w:pStyle w:val="Normal"/>
        <w:numPr>
          <w:ilvl w:val="0"/>
          <w:numId w:val="3"/>
        </w:numPr>
        <w:jc w:val="both"/>
        <w:rPr>
          <w:rFonts w:ascii="Arial" w:hAnsi="Arial" w:cs="Arial"/>
        </w:rPr>
      </w:pPr>
      <w:r>
        <w:rPr>
          <w:rFonts w:cs="Arial" w:ascii="Arial" w:hAnsi="Arial"/>
        </w:rPr>
        <w:t>Negotiate credit terms with customers (Guidelines provided by NY on acceptable banks and terms &amp; conditions of LCs) and manage LCs</w:t>
      </w:r>
    </w:p>
    <w:p>
      <w:pPr>
        <w:pStyle w:val="Normal"/>
        <w:numPr>
          <w:ilvl w:val="0"/>
          <w:numId w:val="3"/>
        </w:numPr>
        <w:jc w:val="both"/>
        <w:rPr>
          <w:rFonts w:ascii="Arial" w:hAnsi="Arial" w:cs="Arial"/>
        </w:rPr>
      </w:pPr>
      <w:r>
        <w:rPr>
          <w:rFonts w:cs="Arial" w:ascii="Arial" w:hAnsi="Arial"/>
        </w:rPr>
        <w:t>Credit applications with traders</w:t>
      </w:r>
    </w:p>
    <w:p>
      <w:pPr>
        <w:pStyle w:val="Normal"/>
        <w:numPr>
          <w:ilvl w:val="0"/>
          <w:numId w:val="3"/>
        </w:numPr>
        <w:jc w:val="both"/>
        <w:rPr>
          <w:rFonts w:ascii="Arial" w:hAnsi="Arial" w:cs="Arial"/>
        </w:rPr>
      </w:pPr>
      <w:r>
        <w:rPr>
          <w:rFonts w:cs="Arial" w:ascii="Arial" w:hAnsi="Arial"/>
        </w:rPr>
        <w:t>For contracted shipping rates review and pass through NY legal</w:t>
      </w:r>
    </w:p>
    <w:p>
      <w:pPr>
        <w:pStyle w:val="Normal"/>
        <w:numPr>
          <w:ilvl w:val="0"/>
          <w:numId w:val="3"/>
        </w:numPr>
        <w:jc w:val="both"/>
        <w:rPr>
          <w:rFonts w:ascii="Arial" w:hAnsi="Arial" w:cs="Arial"/>
        </w:rPr>
      </w:pPr>
      <w:r>
        <w:rPr>
          <w:rFonts w:cs="Arial" w:ascii="Arial" w:hAnsi="Arial"/>
        </w:rPr>
        <w:t>Manage insurance of shipments</w:t>
      </w:r>
    </w:p>
    <w:p>
      <w:pPr>
        <w:pStyle w:val="Normal"/>
        <w:jc w:val="both"/>
        <w:rPr>
          <w:rFonts w:ascii="Arial" w:hAnsi="Arial" w:cs="Arial"/>
        </w:rPr>
      </w:pPr>
      <w:r>
        <w:rPr>
          <w:rFonts w:cs="Arial" w:ascii="Arial" w:hAnsi="Arial"/>
        </w:rPr>
      </w:r>
    </w:p>
    <w:p>
      <w:pPr>
        <w:pStyle w:val="Normal"/>
        <w:jc w:val="both"/>
        <w:rPr>
          <w:rFonts w:ascii="Arial" w:hAnsi="Arial" w:cs="Arial"/>
          <w:b/>
        </w:rPr>
      </w:pPr>
      <w:r>
        <w:rPr>
          <w:rFonts w:cs="Arial" w:ascii="Arial" w:hAnsi="Arial"/>
          <w:b/>
        </w:rPr>
        <w:t>Traffic – Value added products &amp; Import/Export  (Rita Burkett)</w:t>
      </w:r>
    </w:p>
    <w:p>
      <w:pPr>
        <w:pStyle w:val="Normal"/>
        <w:jc w:val="both"/>
        <w:rPr>
          <w:rFonts w:ascii="Arial" w:hAnsi="Arial" w:cs="Arial"/>
          <w:b/>
        </w:rPr>
      </w:pPr>
      <w:r>
        <w:rPr>
          <w:rFonts w:cs="Arial" w:ascii="Arial" w:hAnsi="Arial"/>
          <w:b/>
        </w:rPr>
      </w:r>
    </w:p>
    <w:p>
      <w:pPr>
        <w:pStyle w:val="Normal"/>
        <w:numPr>
          <w:ilvl w:val="0"/>
          <w:numId w:val="5"/>
        </w:numPr>
        <w:jc w:val="both"/>
        <w:rPr>
          <w:rFonts w:ascii="Arial" w:hAnsi="Arial" w:cs="Arial"/>
        </w:rPr>
      </w:pPr>
      <w:r>
        <w:rPr>
          <w:rFonts w:cs="Arial" w:ascii="Arial" w:hAnsi="Arial"/>
        </w:rPr>
        <w:t xml:space="preserve">All day to day movements </w:t>
      </w:r>
    </w:p>
    <w:p>
      <w:pPr>
        <w:pStyle w:val="Normal"/>
        <w:numPr>
          <w:ilvl w:val="0"/>
          <w:numId w:val="5"/>
        </w:numPr>
        <w:jc w:val="both"/>
        <w:rPr>
          <w:rFonts w:ascii="Arial" w:hAnsi="Arial" w:cs="Arial"/>
        </w:rPr>
      </w:pPr>
      <w:r>
        <w:rPr>
          <w:rFonts w:cs="Arial" w:ascii="Arial" w:hAnsi="Arial"/>
        </w:rPr>
        <w:t>Reconciling shipping reports to confirmations</w:t>
      </w:r>
    </w:p>
    <w:p>
      <w:pPr>
        <w:pStyle w:val="Normal"/>
        <w:numPr>
          <w:ilvl w:val="0"/>
          <w:numId w:val="5"/>
        </w:numPr>
        <w:jc w:val="both"/>
        <w:rPr>
          <w:rFonts w:ascii="Arial" w:hAnsi="Arial" w:cs="Arial"/>
        </w:rPr>
      </w:pPr>
      <w:r>
        <w:rPr>
          <w:rFonts w:cs="Arial" w:ascii="Arial" w:hAnsi="Arial"/>
        </w:rPr>
        <w:t>Entry into Access logistics system</w:t>
      </w:r>
    </w:p>
    <w:p>
      <w:pPr>
        <w:pStyle w:val="Normal"/>
        <w:numPr>
          <w:ilvl w:val="0"/>
          <w:numId w:val="5"/>
        </w:numPr>
        <w:jc w:val="both"/>
        <w:rPr>
          <w:rFonts w:ascii="Arial" w:hAnsi="Arial" w:cs="Arial"/>
        </w:rPr>
      </w:pPr>
      <w:r>
        <w:rPr>
          <w:rFonts w:cs="Arial" w:ascii="Arial" w:hAnsi="Arial"/>
        </w:rPr>
        <w:t>Passing of invoice generated from Access system to AR/AP</w:t>
      </w:r>
    </w:p>
    <w:p>
      <w:pPr>
        <w:pStyle w:val="Normal"/>
        <w:numPr>
          <w:ilvl w:val="0"/>
          <w:numId w:val="5"/>
        </w:numPr>
        <w:jc w:val="both"/>
        <w:rPr>
          <w:rFonts w:ascii="Arial" w:hAnsi="Arial" w:cs="Arial"/>
        </w:rPr>
      </w:pPr>
      <w:r>
        <w:rPr>
          <w:rFonts w:cs="Arial" w:ascii="Arial" w:hAnsi="Arial"/>
        </w:rPr>
        <w:t>Monitoring inventory in warehouses – obtaining documentation from warehouse and updating Access system accordingly</w:t>
      </w:r>
    </w:p>
    <w:p>
      <w:pPr>
        <w:pStyle w:val="Normal"/>
        <w:numPr>
          <w:ilvl w:val="0"/>
          <w:numId w:val="5"/>
        </w:numPr>
        <w:jc w:val="both"/>
        <w:rPr>
          <w:rFonts w:ascii="Arial" w:hAnsi="Arial" w:cs="Arial"/>
        </w:rPr>
      </w:pPr>
      <w:r>
        <w:rPr>
          <w:rFonts w:cs="Arial" w:ascii="Arial" w:hAnsi="Arial"/>
        </w:rPr>
        <w:t>Import &amp; export documentation</w:t>
      </w:r>
    </w:p>
    <w:p>
      <w:pPr>
        <w:pStyle w:val="Normal"/>
        <w:numPr>
          <w:ilvl w:val="0"/>
          <w:numId w:val="5"/>
        </w:numPr>
        <w:jc w:val="both"/>
        <w:rPr>
          <w:rFonts w:ascii="Arial" w:hAnsi="Arial" w:cs="Arial"/>
        </w:rPr>
      </w:pPr>
      <w:r>
        <w:rPr>
          <w:rFonts w:cs="Arial" w:ascii="Arial" w:hAnsi="Arial"/>
        </w:rPr>
        <w:t>Customs entries</w:t>
      </w:r>
    </w:p>
    <w:p>
      <w:pPr>
        <w:pStyle w:val="Normal"/>
        <w:numPr>
          <w:ilvl w:val="0"/>
          <w:numId w:val="5"/>
        </w:numPr>
        <w:jc w:val="both"/>
        <w:rPr>
          <w:rFonts w:ascii="Arial" w:hAnsi="Arial" w:cs="Arial"/>
        </w:rPr>
      </w:pPr>
      <w:r>
        <w:rPr>
          <w:rFonts w:cs="Arial" w:ascii="Arial" w:hAnsi="Arial"/>
        </w:rPr>
        <w:t>Customer service – negotiate on minor issues to do with claims / quantity</w:t>
      </w:r>
    </w:p>
    <w:p>
      <w:pPr>
        <w:pStyle w:val="Normal"/>
        <w:numPr>
          <w:ilvl w:val="0"/>
          <w:numId w:val="5"/>
        </w:numPr>
        <w:jc w:val="both"/>
        <w:rPr>
          <w:rFonts w:ascii="Arial" w:hAnsi="Arial" w:cs="Arial"/>
        </w:rPr>
      </w:pPr>
      <w:r>
        <w:rPr>
          <w:rFonts w:cs="Arial" w:ascii="Arial" w:hAnsi="Arial"/>
        </w:rPr>
        <w:t>Monitoring performance on contracts and escalating to traders as appropriate</w:t>
      </w:r>
    </w:p>
    <w:p>
      <w:pPr>
        <w:pStyle w:val="Normal"/>
        <w:numPr>
          <w:ilvl w:val="0"/>
          <w:numId w:val="5"/>
        </w:numPr>
        <w:jc w:val="both"/>
        <w:rPr>
          <w:rFonts w:ascii="Arial" w:hAnsi="Arial" w:cs="Arial"/>
        </w:rPr>
      </w:pPr>
      <w:r>
        <w:rPr>
          <w:rFonts w:cs="Arial" w:ascii="Arial" w:hAnsi="Arial"/>
        </w:rPr>
        <w:t>Negotiate rates and authorise inventory storage &amp; freight bills when they come in</w:t>
      </w:r>
    </w:p>
    <w:p>
      <w:pPr>
        <w:pStyle w:val="Normal"/>
        <w:numPr>
          <w:ilvl w:val="0"/>
          <w:numId w:val="5"/>
        </w:numPr>
        <w:tabs>
          <w:tab w:val="left" w:pos="720" w:leader="none"/>
        </w:tabs>
        <w:ind w:hanging="360" w:start="720" w:end="0"/>
        <w:jc w:val="both"/>
        <w:rPr>
          <w:rFonts w:ascii="Arial" w:hAnsi="Arial" w:cs="Arial"/>
        </w:rPr>
      </w:pPr>
      <w:r>
        <w:rPr>
          <w:rFonts w:cs="Arial" w:ascii="Arial" w:hAnsi="Arial"/>
        </w:rPr>
        <w:t>Send copies to NY and files</w:t>
      </w:r>
    </w:p>
    <w:p>
      <w:pPr>
        <w:pStyle w:val="Normal"/>
        <w:numPr>
          <w:ilvl w:val="0"/>
          <w:numId w:val="5"/>
        </w:numPr>
        <w:tabs>
          <w:tab w:val="left" w:pos="720" w:leader="none"/>
        </w:tabs>
        <w:ind w:hanging="360" w:start="720" w:end="0"/>
        <w:jc w:val="both"/>
        <w:rPr>
          <w:rFonts w:ascii="Arial" w:hAnsi="Arial" w:cs="Arial"/>
        </w:rPr>
      </w:pPr>
      <w:r>
        <w:rPr>
          <w:rFonts w:cs="Arial" w:ascii="Arial" w:hAnsi="Arial"/>
        </w:rPr>
        <w:t>Subject to authorisation limits controlled by NY</w:t>
      </w:r>
    </w:p>
    <w:p>
      <w:pPr>
        <w:pStyle w:val="Normal"/>
        <w:numPr>
          <w:ilvl w:val="0"/>
          <w:numId w:val="5"/>
        </w:numPr>
        <w:jc w:val="both"/>
        <w:rPr>
          <w:rFonts w:ascii="Arial" w:hAnsi="Arial" w:cs="Arial"/>
        </w:rPr>
      </w:pPr>
      <w:r>
        <w:rPr>
          <w:rFonts w:cs="Arial" w:ascii="Arial" w:hAnsi="Arial"/>
        </w:rPr>
        <w:t>Shipping documentation</w:t>
      </w:r>
    </w:p>
    <w:p>
      <w:pPr>
        <w:pStyle w:val="Normal"/>
        <w:numPr>
          <w:ilvl w:val="0"/>
          <w:numId w:val="5"/>
        </w:numPr>
        <w:jc w:val="both"/>
        <w:rPr>
          <w:rFonts w:ascii="Arial" w:hAnsi="Arial" w:cs="Arial"/>
        </w:rPr>
      </w:pPr>
      <w:r>
        <w:rPr>
          <w:rFonts w:cs="Arial" w:ascii="Arial" w:hAnsi="Arial"/>
        </w:rPr>
        <w:t xml:space="preserve">Verbal negotiation on rates – rates tend to be spot i.e. do not have contracts. </w:t>
      </w:r>
    </w:p>
    <w:p>
      <w:pPr>
        <w:pStyle w:val="Normal"/>
        <w:numPr>
          <w:ilvl w:val="0"/>
          <w:numId w:val="5"/>
        </w:numPr>
        <w:jc w:val="both"/>
        <w:rPr>
          <w:rFonts w:ascii="Arial" w:hAnsi="Arial" w:cs="Arial"/>
        </w:rPr>
      </w:pPr>
      <w:r>
        <w:rPr>
          <w:rFonts w:cs="Arial" w:ascii="Arial" w:hAnsi="Arial"/>
        </w:rPr>
        <w:t>Ensuring all consignment stock is invoiced</w:t>
      </w:r>
    </w:p>
    <w:p>
      <w:pPr>
        <w:pStyle w:val="Normal"/>
        <w:numPr>
          <w:ilvl w:val="0"/>
          <w:numId w:val="5"/>
        </w:numPr>
        <w:jc w:val="both"/>
        <w:rPr>
          <w:rFonts w:ascii="Arial" w:hAnsi="Arial" w:cs="Arial"/>
        </w:rPr>
      </w:pPr>
      <w:r>
        <w:rPr>
          <w:rFonts w:cs="Arial" w:ascii="Arial" w:hAnsi="Arial"/>
        </w:rPr>
        <w:t>Insurance of shipments administration – send completed forms to New York for premium payment to Allianz.</w:t>
      </w:r>
    </w:p>
    <w:p>
      <w:pPr>
        <w:pStyle w:val="Normal"/>
        <w:jc w:val="both"/>
        <w:rPr>
          <w:rFonts w:ascii="Arial" w:hAnsi="Arial" w:cs="Arial"/>
        </w:rPr>
      </w:pPr>
      <w:r>
        <w:rPr>
          <w:rFonts w:cs="Arial" w:ascii="Arial" w:hAnsi="Arial"/>
        </w:rPr>
      </w:r>
    </w:p>
    <w:p>
      <w:pPr>
        <w:pStyle w:val="Normal"/>
        <w:jc w:val="both"/>
        <w:rPr>
          <w:rFonts w:ascii="Arial" w:hAnsi="Arial" w:cs="Arial"/>
          <w:b/>
        </w:rPr>
      </w:pPr>
      <w:r>
        <w:rPr>
          <w:rFonts w:cs="Arial" w:ascii="Arial" w:hAnsi="Arial"/>
          <w:b/>
        </w:rPr>
        <w:t>Traffic - US domestic &amp; General Support (Jennie Cornfield)</w:t>
      </w:r>
    </w:p>
    <w:p>
      <w:pPr>
        <w:pStyle w:val="Normal"/>
        <w:jc w:val="both"/>
        <w:rPr>
          <w:rFonts w:ascii="Arial" w:hAnsi="Arial" w:cs="Arial"/>
          <w:b/>
        </w:rPr>
      </w:pPr>
      <w:r>
        <w:rPr>
          <w:rFonts w:cs="Arial" w:ascii="Arial" w:hAnsi="Arial"/>
          <w:b/>
        </w:rPr>
      </w:r>
    </w:p>
    <w:p>
      <w:pPr>
        <w:pStyle w:val="Normal"/>
        <w:numPr>
          <w:ilvl w:val="0"/>
          <w:numId w:val="7"/>
        </w:numPr>
        <w:jc w:val="both"/>
        <w:rPr>
          <w:rFonts w:ascii="Arial" w:hAnsi="Arial" w:cs="Arial"/>
        </w:rPr>
      </w:pPr>
      <w:r>
        <w:rPr>
          <w:rFonts w:cs="Arial" w:ascii="Arial" w:hAnsi="Arial"/>
        </w:rPr>
        <w:t>Traffic function for US domestic movements under guidance of traffic</w:t>
      </w:r>
    </w:p>
    <w:p>
      <w:pPr>
        <w:pStyle w:val="Normal"/>
        <w:numPr>
          <w:ilvl w:val="0"/>
          <w:numId w:val="7"/>
        </w:numPr>
        <w:jc w:val="both"/>
        <w:rPr>
          <w:rFonts w:ascii="Arial" w:hAnsi="Arial" w:cs="Arial"/>
        </w:rPr>
      </w:pPr>
      <w:r>
        <w:rPr>
          <w:rFonts w:cs="Arial" w:ascii="Arial" w:hAnsi="Arial"/>
        </w:rPr>
        <w:t>Travel arrangements</w:t>
      </w:r>
    </w:p>
    <w:p>
      <w:pPr>
        <w:pStyle w:val="Normal"/>
        <w:numPr>
          <w:ilvl w:val="0"/>
          <w:numId w:val="7"/>
        </w:numPr>
        <w:jc w:val="both"/>
        <w:rPr>
          <w:rFonts w:ascii="Arial" w:hAnsi="Arial" w:cs="Arial"/>
        </w:rPr>
      </w:pPr>
      <w:r>
        <w:rPr>
          <w:rFonts w:cs="Arial" w:ascii="Arial" w:hAnsi="Arial"/>
        </w:rPr>
        <w:t>Secretarial duties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Heading1"/>
        <w:ind w:hanging="0" w:start="0"/>
        <w:rPr>
          <w:rFonts w:ascii="Arial" w:hAnsi="Arial" w:cs="Arial"/>
        </w:rPr>
      </w:pPr>
      <w:r>
        <w:rPr>
          <w:rFonts w:cs="Arial" w:ascii="Arial" w:hAnsi="Arial"/>
        </w:rPr>
        <w:t>Contracts, AP &amp; AR – Stephanie Tucker</w:t>
      </w:r>
    </w:p>
    <w:p>
      <w:pPr>
        <w:pStyle w:val="Normal"/>
        <w:jc w:val="both"/>
        <w:rPr>
          <w:rFonts w:ascii="Arial" w:hAnsi="Arial" w:cs="Arial"/>
        </w:rPr>
      </w:pPr>
      <w:r>
        <w:rPr>
          <w:rFonts w:cs="Arial" w:ascii="Arial" w:hAnsi="Arial"/>
        </w:rPr>
      </w:r>
    </w:p>
    <w:p>
      <w:pPr>
        <w:pStyle w:val="Normal"/>
        <w:numPr>
          <w:ilvl w:val="0"/>
          <w:numId w:val="8"/>
        </w:numPr>
        <w:jc w:val="both"/>
        <w:rPr>
          <w:rFonts w:ascii="Arial" w:hAnsi="Arial" w:cs="Arial"/>
        </w:rPr>
      </w:pPr>
      <w:r>
        <w:rPr>
          <w:rFonts w:cs="Arial" w:ascii="Arial" w:hAnsi="Arial"/>
        </w:rPr>
        <w:t>Type up contracts confirmations (suing Access system)</w:t>
      </w:r>
    </w:p>
    <w:p>
      <w:pPr>
        <w:pStyle w:val="Normal"/>
        <w:numPr>
          <w:ilvl w:val="0"/>
          <w:numId w:val="8"/>
        </w:numPr>
        <w:jc w:val="both"/>
        <w:rPr>
          <w:rFonts w:ascii="Arial" w:hAnsi="Arial" w:cs="Arial"/>
        </w:rPr>
      </w:pPr>
      <w:r>
        <w:rPr>
          <w:rFonts w:cs="Arial" w:ascii="Arial" w:hAnsi="Arial"/>
        </w:rPr>
        <w:t>Send out confirmations after trader review / signing</w:t>
      </w:r>
    </w:p>
    <w:p>
      <w:pPr>
        <w:pStyle w:val="Normal"/>
        <w:numPr>
          <w:ilvl w:val="0"/>
          <w:numId w:val="8"/>
        </w:numPr>
        <w:jc w:val="both"/>
        <w:rPr>
          <w:rFonts w:ascii="Arial" w:hAnsi="Arial" w:cs="Arial"/>
        </w:rPr>
      </w:pPr>
      <w:r>
        <w:rPr>
          <w:rFonts w:cs="Arial" w:ascii="Arial" w:hAnsi="Arial"/>
        </w:rPr>
        <w:t>AR</w:t>
      </w:r>
    </w:p>
    <w:p>
      <w:pPr>
        <w:pStyle w:val="Normal"/>
        <w:numPr>
          <w:ilvl w:val="0"/>
          <w:numId w:val="8"/>
        </w:numPr>
        <w:tabs>
          <w:tab w:val="left" w:pos="720" w:leader="none"/>
        </w:tabs>
        <w:ind w:hanging="360" w:start="720" w:end="0"/>
        <w:jc w:val="both"/>
        <w:rPr>
          <w:rFonts w:ascii="Arial" w:hAnsi="Arial" w:cs="Arial"/>
        </w:rPr>
      </w:pPr>
      <w:r>
        <w:rPr>
          <w:rFonts w:cs="Arial" w:ascii="Arial" w:hAnsi="Arial"/>
        </w:rPr>
        <w:t>Check invoices from traffic</w:t>
      </w:r>
    </w:p>
    <w:p>
      <w:pPr>
        <w:pStyle w:val="Normal"/>
        <w:numPr>
          <w:ilvl w:val="0"/>
          <w:numId w:val="8"/>
        </w:numPr>
        <w:tabs>
          <w:tab w:val="left" w:pos="720" w:leader="none"/>
        </w:tabs>
        <w:ind w:hanging="360" w:start="720" w:end="0"/>
        <w:jc w:val="both"/>
        <w:rPr>
          <w:rFonts w:ascii="Arial" w:hAnsi="Arial" w:cs="Arial"/>
        </w:rPr>
      </w:pPr>
      <w:r>
        <w:rPr>
          <w:rFonts w:cs="Arial" w:ascii="Arial" w:hAnsi="Arial"/>
        </w:rPr>
        <w:t>Distribute invoices (customer, NY &amp; file)</w:t>
      </w:r>
    </w:p>
    <w:p>
      <w:pPr>
        <w:pStyle w:val="Normal"/>
        <w:numPr>
          <w:ilvl w:val="0"/>
          <w:numId w:val="8"/>
        </w:numPr>
        <w:tabs>
          <w:tab w:val="left" w:pos="720" w:leader="none"/>
        </w:tabs>
        <w:ind w:hanging="360" w:start="720" w:end="0"/>
        <w:jc w:val="both"/>
        <w:rPr>
          <w:rFonts w:ascii="Arial" w:hAnsi="Arial" w:cs="Arial"/>
        </w:rPr>
      </w:pPr>
      <w:r>
        <w:rPr>
          <w:rFonts w:cs="Arial" w:ascii="Arial" w:hAnsi="Arial"/>
        </w:rPr>
        <w:t>Chase receivables</w:t>
      </w:r>
    </w:p>
    <w:p>
      <w:pPr>
        <w:pStyle w:val="Normal"/>
        <w:numPr>
          <w:ilvl w:val="0"/>
          <w:numId w:val="8"/>
        </w:numPr>
        <w:tabs>
          <w:tab w:val="left" w:pos="720" w:leader="none"/>
        </w:tabs>
        <w:ind w:hanging="360" w:start="720" w:end="0"/>
        <w:jc w:val="both"/>
        <w:rPr>
          <w:rFonts w:ascii="Arial" w:hAnsi="Arial" w:cs="Arial"/>
        </w:rPr>
      </w:pPr>
      <w:r>
        <w:rPr>
          <w:rFonts w:cs="Arial" w:ascii="Arial" w:hAnsi="Arial"/>
        </w:rPr>
        <w:t>Advising New York of cash allocations where not clear</w:t>
      </w:r>
    </w:p>
    <w:p>
      <w:pPr>
        <w:pStyle w:val="Normal"/>
        <w:numPr>
          <w:ilvl w:val="0"/>
          <w:numId w:val="9"/>
        </w:numPr>
        <w:jc w:val="both"/>
        <w:rPr>
          <w:rFonts w:ascii="Arial" w:hAnsi="Arial" w:cs="Arial"/>
        </w:rPr>
      </w:pPr>
      <w:r>
        <w:rPr>
          <w:rFonts w:cs="Arial" w:ascii="Arial" w:hAnsi="Arial"/>
        </w:rPr>
        <w:t>AP</w:t>
      </w:r>
    </w:p>
    <w:p>
      <w:pPr>
        <w:pStyle w:val="Normal"/>
        <w:numPr>
          <w:ilvl w:val="0"/>
          <w:numId w:val="9"/>
        </w:numPr>
        <w:tabs>
          <w:tab w:val="left" w:pos="720" w:leader="none"/>
        </w:tabs>
        <w:ind w:hanging="360" w:start="720" w:end="0"/>
        <w:jc w:val="both"/>
        <w:rPr>
          <w:rFonts w:ascii="Arial" w:hAnsi="Arial" w:cs="Arial"/>
        </w:rPr>
      </w:pPr>
      <w:r>
        <w:rPr>
          <w:rFonts w:cs="Arial" w:ascii="Arial" w:hAnsi="Arial"/>
        </w:rPr>
        <w:t>Audit invoices</w:t>
      </w:r>
    </w:p>
    <w:p>
      <w:pPr>
        <w:pStyle w:val="Normal"/>
        <w:numPr>
          <w:ilvl w:val="0"/>
          <w:numId w:val="9"/>
        </w:numPr>
        <w:tabs>
          <w:tab w:val="left" w:pos="720" w:leader="none"/>
        </w:tabs>
        <w:ind w:hanging="360" w:start="720" w:end="0"/>
        <w:jc w:val="both"/>
        <w:rPr>
          <w:rFonts w:ascii="Arial" w:hAnsi="Arial" w:cs="Arial"/>
        </w:rPr>
      </w:pPr>
      <w:r>
        <w:rPr>
          <w:rFonts w:cs="Arial" w:ascii="Arial" w:hAnsi="Arial"/>
        </w:rPr>
        <w:t>Obtain trader approval</w:t>
      </w:r>
    </w:p>
    <w:p>
      <w:pPr>
        <w:pStyle w:val="Normal"/>
        <w:numPr>
          <w:ilvl w:val="0"/>
          <w:numId w:val="9"/>
        </w:numPr>
        <w:tabs>
          <w:tab w:val="left" w:pos="720" w:leader="none"/>
        </w:tabs>
        <w:ind w:hanging="360" w:start="720" w:end="0"/>
        <w:jc w:val="both"/>
        <w:rPr>
          <w:rFonts w:ascii="Arial" w:hAnsi="Arial" w:cs="Arial"/>
        </w:rPr>
      </w:pPr>
      <w:r>
        <w:rPr>
          <w:rFonts w:cs="Arial" w:ascii="Arial" w:hAnsi="Arial"/>
        </w:rPr>
        <w:t>Distribute invoices (NY &amp; file)</w:t>
      </w:r>
    </w:p>
    <w:p>
      <w:pPr>
        <w:pStyle w:val="Normal"/>
        <w:numPr>
          <w:ilvl w:val="0"/>
          <w:numId w:val="9"/>
        </w:numPr>
        <w:tabs>
          <w:tab w:val="left" w:pos="720" w:leader="none"/>
        </w:tabs>
        <w:ind w:hanging="360" w:start="720" w:end="0"/>
        <w:jc w:val="both"/>
        <w:rPr>
          <w:rFonts w:ascii="Arial" w:hAnsi="Arial" w:cs="Arial"/>
        </w:rPr>
      </w:pPr>
      <w:r>
        <w:rPr>
          <w:rFonts w:cs="Arial" w:ascii="Arial" w:hAnsi="Arial"/>
        </w:rPr>
        <w:t>Advising New York of cash allocations where not clear</w:t>
      </w:r>
    </w:p>
    <w:p>
      <w:pPr>
        <w:pStyle w:val="Normal"/>
        <w:numPr>
          <w:ilvl w:val="0"/>
          <w:numId w:val="9"/>
        </w:numPr>
        <w:jc w:val="both"/>
        <w:rPr>
          <w:rFonts w:ascii="Arial" w:hAnsi="Arial" w:cs="Arial"/>
        </w:rPr>
      </w:pPr>
      <w:r>
        <w:rPr>
          <w:rFonts w:cs="Arial" w:ascii="Arial" w:hAnsi="Arial"/>
        </w:rPr>
        <w:t>Review of AP &amp; AR reports for ageing</w:t>
      </w:r>
    </w:p>
    <w:p>
      <w:pPr>
        <w:pStyle w:val="Normal"/>
        <w:numPr>
          <w:ilvl w:val="0"/>
          <w:numId w:val="9"/>
        </w:numPr>
        <w:jc w:val="both"/>
        <w:rPr>
          <w:rFonts w:ascii="Arial" w:hAnsi="Arial" w:cs="Arial"/>
        </w:rPr>
      </w:pPr>
      <w:r>
        <w:rPr>
          <w:rFonts w:cs="Arial" w:ascii="Arial" w:hAnsi="Arial"/>
        </w:rPr>
        <w:t>Escalation of AP/AR issues to traders as appropriate</w:t>
      </w:r>
    </w:p>
    <w:p>
      <w:pPr>
        <w:pStyle w:val="Normal"/>
        <w:numPr>
          <w:ilvl w:val="0"/>
          <w:numId w:val="9"/>
        </w:numPr>
        <w:jc w:val="both"/>
        <w:rPr>
          <w:rFonts w:ascii="Arial" w:hAnsi="Arial" w:cs="Arial"/>
        </w:rPr>
      </w:pPr>
      <w:r>
        <w:rPr>
          <w:rFonts w:cs="Arial" w:ascii="Arial" w:hAnsi="Arial"/>
        </w:rPr>
        <w:t>General office supplies</w:t>
      </w:r>
    </w:p>
    <w:p>
      <w:pPr>
        <w:pStyle w:val="Normal"/>
        <w:numPr>
          <w:ilvl w:val="0"/>
          <w:numId w:val="9"/>
        </w:numPr>
        <w:jc w:val="both"/>
        <w:rPr>
          <w:rFonts w:ascii="Arial" w:hAnsi="Arial" w:cs="Arial"/>
        </w:rPr>
      </w:pPr>
      <w:r>
        <w:rPr>
          <w:rFonts w:cs="Arial" w:ascii="Arial" w:hAnsi="Arial"/>
        </w:rPr>
        <w:t>Check any incoming confirmations (negative approval adopted)</w:t>
      </w:r>
    </w:p>
    <w:p>
      <w:pPr>
        <w:pStyle w:val="Normal"/>
        <w:numPr>
          <w:ilvl w:val="0"/>
          <w:numId w:val="9"/>
        </w:numPr>
        <w:jc w:val="both"/>
        <w:rPr>
          <w:rFonts w:ascii="Arial" w:hAnsi="Arial" w:cs="Arial"/>
        </w:rPr>
      </w:pPr>
      <w:r>
        <w:rPr>
          <w:rFonts w:cs="Arial" w:ascii="Arial" w:hAnsi="Arial"/>
        </w:rPr>
        <w:t>Manage petty cash</w:t>
      </w:r>
    </w:p>
    <w:p>
      <w:pPr>
        <w:pStyle w:val="Normal"/>
        <w:numPr>
          <w:ilvl w:val="0"/>
          <w:numId w:val="9"/>
        </w:numPr>
        <w:tabs>
          <w:tab w:val="left" w:pos="720" w:leader="none"/>
        </w:tabs>
        <w:ind w:hanging="360" w:start="720" w:end="0"/>
        <w:jc w:val="both"/>
        <w:rPr>
          <w:rFonts w:ascii="Arial" w:hAnsi="Arial" w:cs="Arial"/>
        </w:rPr>
      </w:pPr>
      <w:r>
        <w:rPr>
          <w:rFonts w:cs="Arial" w:ascii="Arial" w:hAnsi="Arial"/>
        </w:rPr>
        <w:t>Print cheques</w:t>
      </w:r>
    </w:p>
    <w:p>
      <w:pPr>
        <w:pStyle w:val="Normal"/>
        <w:numPr>
          <w:ilvl w:val="0"/>
          <w:numId w:val="9"/>
        </w:numPr>
        <w:tabs>
          <w:tab w:val="left" w:pos="720" w:leader="none"/>
        </w:tabs>
        <w:ind w:hanging="360" w:start="720" w:end="0"/>
        <w:jc w:val="both"/>
        <w:rPr>
          <w:rFonts w:ascii="Arial" w:hAnsi="Arial" w:cs="Arial"/>
        </w:rPr>
      </w:pPr>
      <w:r>
        <w:rPr>
          <w:rFonts w:cs="Arial" w:ascii="Arial" w:hAnsi="Arial"/>
        </w:rPr>
        <w:t>Obtain signature from traders</w:t>
      </w:r>
    </w:p>
    <w:p>
      <w:pPr>
        <w:pStyle w:val="Normal"/>
        <w:numPr>
          <w:ilvl w:val="0"/>
          <w:numId w:val="9"/>
        </w:numPr>
        <w:jc w:val="both"/>
        <w:rPr>
          <w:rFonts w:ascii="Arial" w:hAnsi="Arial" w:cs="Arial"/>
        </w:rPr>
      </w:pPr>
      <w:r>
        <w:rPr>
          <w:rFonts w:cs="Arial" w:ascii="Arial" w:hAnsi="Arial"/>
        </w:rPr>
        <w:t>Entry of deals into AS400 during parallel running</w:t>
      </w:r>
    </w:p>
    <w:p>
      <w:pPr>
        <w:pStyle w:val="Normal"/>
        <w:numPr>
          <w:ilvl w:val="0"/>
          <w:numId w:val="9"/>
        </w:numPr>
        <w:jc w:val="both"/>
        <w:rPr>
          <w:rFonts w:ascii="Arial" w:hAnsi="Arial" w:cs="Arial"/>
        </w:rPr>
      </w:pPr>
      <w:r>
        <w:rPr>
          <w:rFonts w:cs="Arial" w:ascii="Arial" w:hAnsi="Arial"/>
        </w:rPr>
        <w:t>Reconcile inventory in warehouses to warehouse schedules (twice annually)</w:t>
      </w:r>
    </w:p>
    <w:p>
      <w:pPr>
        <w:pStyle w:val="Normal"/>
        <w:numPr>
          <w:ilvl w:val="0"/>
          <w:numId w:val="9"/>
        </w:numPr>
        <w:tabs>
          <w:tab w:val="left" w:pos="720" w:leader="none"/>
        </w:tabs>
        <w:ind w:hanging="360" w:start="720" w:end="0"/>
        <w:jc w:val="both"/>
        <w:rPr>
          <w:rFonts w:ascii="Arial" w:hAnsi="Arial" w:cs="Arial"/>
        </w:rPr>
      </w:pPr>
      <w:r>
        <w:rPr>
          <w:rFonts w:cs="Arial" w:ascii="Arial" w:hAnsi="Arial"/>
        </w:rPr>
        <w:t>Update inventory in WANG/Access system &amp; AS400 as required</w:t>
      </w:r>
    </w:p>
    <w:p>
      <w:pPr>
        <w:pStyle w:val="Normal"/>
        <w:jc w:val="both"/>
        <w:rPr>
          <w:rFonts w:ascii="Arial" w:hAnsi="Arial" w:cs="Arial"/>
        </w:rPr>
      </w:pPr>
      <w:r>
        <w:rPr>
          <w:rFonts w:cs="Arial" w:ascii="Arial" w:hAnsi="Arial"/>
        </w:rPr>
      </w:r>
      <w:r>
        <w:br w:type="page"/>
      </w:r>
    </w:p>
    <w:p>
      <w:pPr>
        <w:pStyle w:val="Normal"/>
        <w:tabs>
          <w:tab w:val="clear" w:pos="720"/>
          <w:tab w:val="left" w:pos="360" w:leader="none"/>
          <w:tab w:val="right" w:pos="9360" w:leader="none"/>
        </w:tabs>
        <w:jc w:val="both"/>
        <w:rPr>
          <w:rFonts w:ascii="Arial" w:hAnsi="Arial" w:cs="Arial"/>
          <w:b/>
          <w:sz w:val="24"/>
        </w:rPr>
      </w:pPr>
      <w:r>
        <w:rPr>
          <w:rFonts w:cs="Arial" w:ascii="Arial" w:hAnsi="Arial"/>
          <w:b/>
          <w:sz w:val="24"/>
        </w:rPr>
        <w:t>Appendix 2 – Doorstep review</w:t>
      </w:r>
    </w:p>
    <w:p>
      <w:pPr>
        <w:pStyle w:val="Normal"/>
        <w:tabs>
          <w:tab w:val="clear" w:pos="720"/>
          <w:tab w:val="left" w:pos="360" w:leader="none"/>
          <w:tab w:val="right" w:pos="9360" w:leader="none"/>
        </w:tabs>
        <w:jc w:val="both"/>
        <w:rPr>
          <w:rFonts w:ascii="Arial" w:hAnsi="Arial" w:cs="Arial"/>
          <w:b/>
          <w:sz w:val="24"/>
        </w:rPr>
      </w:pPr>
      <w:r>
        <w:rPr>
          <w:rFonts w:cs="Arial" w:ascii="Arial" w:hAnsi="Arial"/>
          <w:b/>
          <w:sz w:val="24"/>
        </w:rPr>
      </w:r>
    </w:p>
    <w:p>
      <w:pPr>
        <w:pStyle w:val="Heading3"/>
        <w:ind w:hanging="0" w:start="0"/>
        <w:jc w:val="both"/>
        <w:rPr>
          <w:rFonts w:ascii="Arial" w:hAnsi="Arial" w:cs="Arial"/>
        </w:rPr>
      </w:pPr>
      <w:r>
        <w:rPr>
          <w:rFonts w:cs="Arial" w:ascii="Arial" w:hAnsi="Arial"/>
        </w:rPr>
        <w:t xml:space="preserve">Enron Corp                                                                                          </w:t>
      </w:r>
    </w:p>
    <w:p>
      <w:pPr>
        <w:pStyle w:val="Heading3"/>
        <w:ind w:hanging="0" w:start="0"/>
        <w:jc w:val="both"/>
        <w:rPr>
          <w:rFonts w:ascii="Arial" w:hAnsi="Arial" w:cs="Arial"/>
        </w:rPr>
      </w:pPr>
      <w:r>
        <w:rPr>
          <w:rFonts w:cs="Arial" w:ascii="Arial" w:hAnsi="Arial"/>
        </w:rPr>
        <w:t>Remote Office Questionnaire</w:t>
      </w:r>
    </w:p>
    <w:p>
      <w:pPr>
        <w:pStyle w:val="Normal"/>
        <w:tabs>
          <w:tab w:val="clear" w:pos="720"/>
          <w:tab w:val="left" w:pos="360" w:leader="none"/>
          <w:tab w:val="right" w:pos="9360" w:leader="none"/>
        </w:tabs>
        <w:jc w:val="both"/>
        <w:rPr>
          <w:rFonts w:ascii="Arial" w:hAnsi="Arial" w:cs="Arial"/>
          <w:b/>
          <w:color w:val="000000"/>
          <w:sz w:val="24"/>
        </w:rPr>
      </w:pPr>
      <w:r>
        <w:rPr>
          <w:rFonts w:cs="Arial" w:ascii="Arial" w:hAnsi="Arial"/>
          <w:b/>
          <w:color w:val="000000"/>
          <w:sz w:val="24"/>
        </w:rPr>
        <w:t xml:space="preserve">Location:  </w:t>
      </w:r>
      <w:r>
        <w:rPr>
          <w:rFonts w:cs="Arial" w:ascii="Arial" w:hAnsi="Arial"/>
          <w:color w:val="000000"/>
          <w:sz w:val="24"/>
        </w:rPr>
        <w:t>MG Chicago Office</w:t>
      </w:r>
    </w:p>
    <w:p>
      <w:pPr>
        <w:pStyle w:val="Normal"/>
        <w:tabs>
          <w:tab w:val="clear" w:pos="720"/>
          <w:tab w:val="left" w:pos="360" w:leader="none"/>
          <w:tab w:val="right" w:pos="9360" w:leader="none"/>
        </w:tabs>
        <w:jc w:val="both"/>
        <w:rPr>
          <w:rFonts w:ascii="Arial" w:hAnsi="Arial" w:cs="Arial"/>
          <w:b/>
          <w:color w:val="000000"/>
        </w:rPr>
      </w:pPr>
      <w:r>
        <w:rPr>
          <w:rFonts w:cs="Arial" w:ascii="Arial" w:hAnsi="Arial"/>
          <w:b/>
          <w:color w:val="000000"/>
          <w:sz w:val="24"/>
        </w:rPr>
        <w:t>Year Established: 1991</w:t>
      </w:r>
    </w:p>
    <w:p>
      <w:pPr>
        <w:pStyle w:val="Normal"/>
        <w:tabs>
          <w:tab w:val="clear" w:pos="720"/>
          <w:tab w:val="left" w:pos="360" w:leader="none"/>
          <w:tab w:val="right" w:pos="9360" w:leader="none"/>
        </w:tabs>
        <w:jc w:val="both"/>
        <w:rPr>
          <w:rFonts w:ascii="Arial" w:hAnsi="Arial" w:cs="Arial"/>
          <w:b/>
          <w:color w:val="000000"/>
        </w:rPr>
      </w:pPr>
      <w:r>
        <w:rPr>
          <w:rFonts w:cs="Arial" w:ascii="Arial" w:hAnsi="Arial"/>
          <w:b/>
          <w:color w:val="000000"/>
        </w:rPr>
      </w:r>
    </w:p>
    <w:p>
      <w:pPr>
        <w:pStyle w:val="Heading2"/>
        <w:ind w:hanging="0" w:start="0"/>
        <w:jc w:val="both"/>
        <w:rPr>
          <w:rFonts w:ascii="Arial" w:hAnsi="Arial" w:cs="Arial"/>
          <w:color w:val="000000"/>
          <w:u w:val="single"/>
        </w:rPr>
      </w:pPr>
      <w:r>
        <w:rPr>
          <w:rFonts w:cs="Arial" w:ascii="Arial" w:hAnsi="Arial"/>
          <w:highlight w:val="lightGray"/>
        </w:rPr>
        <w:t>Environment</w:t>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if any, regulatory and sovereign issues effect current operations? Is a license required to operate? </w:t>
      </w:r>
      <w:r>
        <w:rPr>
          <w:rFonts w:cs="Arial" w:ascii="Arial" w:hAnsi="Arial"/>
          <w:b/>
          <w:color w:val="000000"/>
        </w:rPr>
        <w:t>None</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Has an industry study/profile been completed? </w:t>
      </w:r>
      <w:r>
        <w:rPr>
          <w:rFonts w:cs="Arial" w:ascii="Arial" w:hAnsi="Arial"/>
          <w:b/>
          <w:color w:val="000000"/>
        </w:rPr>
        <w:t>Overview in main body of report</w:t>
      </w:r>
      <w:r>
        <w:rPr>
          <w:rFonts w:cs="Arial" w:ascii="Arial" w:hAnsi="Arial"/>
          <w:color w:val="000000"/>
        </w:rPr>
        <w:t>.</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Is current generation, transmission and distribution asset capacity available to support business activities? </w:t>
      </w:r>
      <w:r>
        <w:rPr>
          <w:rFonts w:cs="Arial" w:ascii="Arial" w:hAnsi="Arial"/>
          <w:b/>
          <w:color w:val="000000"/>
        </w:rPr>
        <w:t>N/A</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rPr>
        <w:t xml:space="preserve">Are other Enron projects, assets or other services in the same geographical location? </w:t>
      </w:r>
      <w:r>
        <w:rPr>
          <w:rFonts w:cs="Arial" w:ascii="Arial" w:hAnsi="Arial"/>
          <w:b/>
          <w:color w:val="000000"/>
        </w:rPr>
        <w:t>Chicago office – building services have been advised of possibility for relocation by US remote office IT support.</w:t>
      </w:r>
      <w:r>
        <w:rPr>
          <w:rFonts w:cs="Arial" w:ascii="Arial" w:hAnsi="Arial"/>
          <w:b/>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Heading1"/>
        <w:ind w:hanging="0" w:start="0"/>
        <w:rPr>
          <w:rFonts w:ascii="Arial" w:hAnsi="Arial" w:cs="Arial"/>
        </w:rPr>
      </w:pPr>
      <w:r>
        <w:rPr>
          <w:rFonts w:cs="Arial" w:ascii="Arial" w:hAnsi="Arial"/>
          <w:highlight w:val="lightGray"/>
        </w:rPr>
        <w:t>Strategy</w:t>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 xml:space="preserve">Is business activity considered wholesale or retail? </w:t>
      </w:r>
      <w:r>
        <w:rPr>
          <w:rFonts w:cs="Arial" w:ascii="Arial" w:hAnsi="Arial"/>
          <w:b/>
          <w:color w:val="000000"/>
        </w:rPr>
        <w:t>Wholesale</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Has the office been approved to transact in specific commodities in accordance with the Enron Corp policies? </w:t>
      </w:r>
      <w:r>
        <w:rPr>
          <w:rFonts w:cs="Arial" w:ascii="Arial" w:hAnsi="Arial"/>
          <w:b/>
          <w:color w:val="000000"/>
        </w:rPr>
        <w:t>Agency business remit from London. Secondary product trading remit from Joe Robertson in New York.</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What commodities and products are dealt (new/mature, physical/financial, transport)?</w:t>
      </w:r>
    </w:p>
    <w:p>
      <w:pPr>
        <w:pStyle w:val="Normal"/>
        <w:tabs>
          <w:tab w:val="clear" w:pos="720"/>
          <w:tab w:val="left" w:pos="360" w:leader="none"/>
          <w:tab w:val="right" w:pos="9360" w:leader="none"/>
        </w:tabs>
        <w:ind w:start="360" w:end="0"/>
        <w:jc w:val="both"/>
        <w:rPr>
          <w:rFonts w:ascii="Arial" w:hAnsi="Arial" w:cs="Arial"/>
          <w:b/>
          <w:color w:val="000000"/>
        </w:rPr>
      </w:pPr>
      <w:r>
        <w:rPr>
          <w:rFonts w:cs="Arial" w:ascii="Arial" w:hAnsi="Arial"/>
          <w:b/>
          <w:color w:val="000000"/>
        </w:rPr>
        <w:t>Agency basis – Primary Aluminium</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b/>
          <w:color w:val="000000"/>
        </w:rPr>
        <w:t>As principal – Secondary Aluminium (scrap, alloys). Minor amounts of Magnesium and Silicon</w:t>
      </w:r>
      <w:r>
        <w:rPr>
          <w:rFonts w:cs="Arial" w:ascii="Arial" w:hAnsi="Arial"/>
          <w:color w:val="000000"/>
        </w:rPr>
        <w:tab/>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Is there an established exchange?  Are most deals executed through an exchange or OTC?</w:t>
      </w:r>
    </w:p>
    <w:p>
      <w:pPr>
        <w:pStyle w:val="BodyTextIndent"/>
        <w:jc w:val="both"/>
        <w:rPr>
          <w:rFonts w:ascii="Arial" w:hAnsi="Arial" w:cs="Arial"/>
        </w:rPr>
      </w:pPr>
      <w:r>
        <w:rPr>
          <w:rFonts w:cs="Arial" w:ascii="Arial" w:hAnsi="Arial"/>
        </w:rPr>
        <w:t>Business is OTC transactions hedged with LME contracts. Trading is focused on the premium.</w:t>
        <w:tab/>
      </w:r>
    </w:p>
    <w:p>
      <w:pPr>
        <w:pStyle w:val="Normal"/>
        <w:tabs>
          <w:tab w:val="clear" w:pos="720"/>
          <w:tab w:val="left" w:pos="360" w:leader="none"/>
          <w:tab w:val="right" w:pos="9360" w:leader="none"/>
        </w:tabs>
        <w:ind w:start="360" w:end="0"/>
        <w:jc w:val="both"/>
        <w:rPr/>
      </w:pPr>
      <w:r>
        <w:rPr>
          <w:rFonts w:cs="Arial" w:ascii="Arial" w:hAnsi="Arial"/>
          <w:color w:val="000000"/>
        </w:rPr>
        <w:t>How complex are the existing transactions?</w:t>
      </w:r>
      <w:r>
        <w:rPr>
          <w:rFonts w:cs="Arial" w:ascii="Arial" w:hAnsi="Arial"/>
          <w:b/>
          <w:color w:val="000000"/>
        </w:rPr>
        <w:t xml:space="preserve"> The principal business is based on physical buying and selling of secondary products. Optionality is limited to quantity of product to be taken but on unpriced positions only. The agency business will involve more complex products but will fall under the remit of the London office.</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Are "published" pricing sources (index locations, pub codes, etc) available for physical or financial products (liquid vs. illiquid market)?</w:t>
      </w:r>
      <w:r>
        <w:rPr>
          <w:rFonts w:cs="Arial" w:ascii="Arial" w:hAnsi="Arial"/>
          <w:b/>
          <w:color w:val="000000"/>
        </w:rPr>
        <w:t xml:space="preserve"> LME prices on Reuters are published out to 27 months. The prices for the varying grades of scrap are not published. The traders set the premiums to the LME.</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current number of existing deals? Average commodity price for prior year? Average tenor of a deal? </w:t>
      </w:r>
      <w:r>
        <w:rPr>
          <w:rFonts w:cs="Arial" w:ascii="Arial" w:hAnsi="Arial"/>
          <w:b/>
          <w:color w:val="000000"/>
        </w:rPr>
        <w:t>The principal business has approximately 300 open contracts at present. Price is dependent upon form of the product but is typically between a thousand and two thousand USD per ton. 75% of deals are spot or next month delivery, 15% out to a year and approximately 5% beyond a year. Any trade over 12 months requires board approval (New York). The agency business is covered in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How many transactions are executed in an average month? What is the average volumetric quantity of a transaction? </w:t>
      </w:r>
      <w:r>
        <w:rPr>
          <w:rFonts w:cs="Arial" w:ascii="Arial" w:hAnsi="Arial"/>
          <w:b/>
          <w:color w:val="000000"/>
        </w:rPr>
        <w:t>On an</w:t>
      </w:r>
      <w:r>
        <w:rPr>
          <w:rFonts w:cs="Arial" w:ascii="Arial" w:hAnsi="Arial"/>
          <w:color w:val="000000"/>
        </w:rPr>
        <w:t xml:space="preserve"> </w:t>
      </w:r>
      <w:r>
        <w:rPr>
          <w:rFonts w:cs="Arial" w:ascii="Arial" w:hAnsi="Arial"/>
          <w:b/>
          <w:color w:val="000000"/>
        </w:rPr>
        <w:t>average month the secondary business will have 100 or so transactions. Typical volume is 250 tons. The agency business does 5 to 10 transactions a month.</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are the primary contributors to office P/L (i.e. net sales, MTM valuation)?  </w:t>
      </w:r>
      <w:r>
        <w:rPr>
          <w:rFonts w:cs="Arial" w:ascii="Arial" w:hAnsi="Arial"/>
          <w:b/>
          <w:color w:val="000000"/>
        </w:rPr>
        <w:t>The agency business charges London commission for trades arranged. The secondary business focuses on trading the premium between the scrap grades and LME contracts.</w:t>
      </w:r>
      <w:r>
        <w:rPr>
          <w:rFonts w:cs="Arial" w:ascii="Arial" w:hAnsi="Arial"/>
          <w:color w:val="000000"/>
          <w:u w:val="single"/>
        </w:rPr>
        <w:tab/>
      </w:r>
    </w:p>
    <w:p>
      <w:pPr>
        <w:pStyle w:val="Normal"/>
        <w:tabs>
          <w:tab w:val="clear" w:pos="720"/>
          <w:tab w:val="left" w:pos="360" w:leader="none"/>
          <w:tab w:val="right" w:pos="9360" w:leader="none"/>
        </w:tabs>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rPr>
        <w:t xml:space="preserve">What limit structure has been developed to govern deal activities (methodology used, historical analyses)? </w:t>
      </w:r>
      <w:r>
        <w:rPr>
          <w:rFonts w:cs="Arial" w:ascii="Arial" w:hAnsi="Arial"/>
          <w:b/>
          <w:color w:val="000000"/>
        </w:rPr>
        <w:t>1. Given current activities the market risk is covered by absolute position limits (the business no longer speculates on spread trading). This set at 3,000 tons and is monitored by Risk Management in New York. The business is not utilising this limit as it focuses on locking in the LME premium differences. 2. Credit limits are set at an individual counterparty level by New York. The office receives credit limit reports twice monthly but no exposure reports. This means that limit excesses are only notified when New York part time credit carries out the review of exposures against limits. 3. Deals over 12 months require board approval. The agency business is only written with London’s approval.</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Heading1"/>
        <w:ind w:hanging="0" w:start="0"/>
        <w:rPr>
          <w:rFonts w:ascii="Arial" w:hAnsi="Arial" w:cs="Arial"/>
        </w:rPr>
      </w:pPr>
      <w:r>
        <w:rPr>
          <w:rFonts w:cs="Arial" w:ascii="Arial" w:hAnsi="Arial"/>
          <w:highlight w:val="lightGray"/>
        </w:rPr>
        <w:t>Owners</w:t>
      </w:r>
    </w:p>
    <w:p>
      <w:pPr>
        <w:pStyle w:val="Normal"/>
        <w:tabs>
          <w:tab w:val="clear" w:pos="720"/>
          <w:tab w:val="left" w:pos="360" w:leader="none"/>
          <w:tab w:val="right" w:pos="9360" w:leader="none"/>
        </w:tabs>
        <w:ind w:start="360" w:end="0"/>
        <w:jc w:val="both"/>
        <w:rPr/>
      </w:pPr>
      <w:r>
        <w:rPr>
          <w:rFonts w:cs="Arial" w:ascii="Arial" w:hAnsi="Arial"/>
          <w:color w:val="000000"/>
        </w:rPr>
        <w:t xml:space="preserve">What are the reporting responsibilities (affiliate of which MG business)? </w:t>
      </w:r>
      <w:r>
        <w:rPr>
          <w:rFonts w:cs="Arial" w:ascii="Arial" w:hAnsi="Arial"/>
          <w:b/>
          <w:color w:val="000000"/>
        </w:rPr>
        <w:t>The agency business reports into London and the principal business into New York</w:t>
      </w:r>
      <w:r>
        <w:rPr>
          <w:rFonts w:cs="Arial" w:ascii="Arial" w:hAnsi="Arial"/>
          <w:color w:val="000000"/>
        </w:rPr>
        <w:t xml:space="preserve">. </w:t>
      </w:r>
      <w:r>
        <w:rPr>
          <w:rFonts w:cs="Arial" w:ascii="Arial" w:hAnsi="Arial"/>
          <w:b/>
          <w:color w:val="000000"/>
        </w:rPr>
        <w:t>Twice monthly MTM are supplied to Louis Colarusso in New York accounting.</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Who is the primary London/ New York contact? </w:t>
      </w:r>
      <w:r>
        <w:rPr>
          <w:rFonts w:cs="Arial" w:ascii="Arial" w:hAnsi="Arial"/>
          <w:b/>
          <w:color w:val="000000"/>
        </w:rPr>
        <w:t>London: Sam Hainsworth    New York: Joe Robertson.</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How was the office organised? By acquisition or steady growth?  </w:t>
      </w:r>
      <w:r>
        <w:rPr>
          <w:rFonts w:cs="Arial" w:ascii="Arial" w:hAnsi="Arial"/>
          <w:b/>
          <w:color w:val="000000"/>
        </w:rPr>
        <w:t>Acquisition</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Heading1"/>
        <w:ind w:hanging="0" w:start="0"/>
        <w:rPr>
          <w:rFonts w:ascii="Arial" w:hAnsi="Arial" w:cs="Arial"/>
        </w:rPr>
      </w:pPr>
      <w:r>
        <w:rPr>
          <w:rFonts w:cs="Arial" w:ascii="Arial" w:hAnsi="Arial"/>
          <w:highlight w:val="lightGray"/>
        </w:rPr>
        <w:t>Management</w:t>
      </w:r>
    </w:p>
    <w:p>
      <w:pPr>
        <w:pStyle w:val="Normal"/>
        <w:tabs>
          <w:tab w:val="clear" w:pos="720"/>
          <w:tab w:val="left" w:pos="360" w:leader="none"/>
          <w:tab w:val="right" w:pos="9360" w:leader="none"/>
        </w:tabs>
        <w:ind w:start="360" w:end="0"/>
        <w:jc w:val="both"/>
        <w:rPr/>
      </w:pPr>
      <w:r>
        <w:rPr>
          <w:rFonts w:cs="Arial" w:ascii="Arial" w:hAnsi="Arial"/>
          <w:color w:val="000000"/>
        </w:rPr>
        <w:t xml:space="preserve">Who is the Country/Risk manager? </w:t>
      </w:r>
      <w:r>
        <w:rPr>
          <w:rFonts w:cs="Arial" w:ascii="Arial" w:hAnsi="Arial"/>
          <w:b/>
          <w:color w:val="000000"/>
        </w:rPr>
        <w:t>Andreas Barsckis</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supporting functions are located in the remote office? (E.g. Legal, Tax, Credit, Treasury)? </w:t>
      </w:r>
      <w:r>
        <w:rPr>
          <w:rFonts w:cs="Arial" w:ascii="Arial" w:hAnsi="Arial"/>
          <w:b/>
          <w:color w:val="000000"/>
        </w:rPr>
        <w:t>None – all in New York</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number of authorised commercial personnel? </w:t>
      </w:r>
      <w:r>
        <w:rPr>
          <w:rFonts w:cs="Arial" w:ascii="Arial" w:hAnsi="Arial"/>
          <w:b/>
          <w:color w:val="000000"/>
        </w:rPr>
        <w:t>3</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degree of management judgement involved to supervise business transactions and activities? </w:t>
      </w:r>
      <w:r>
        <w:rPr>
          <w:rFonts w:cs="Arial" w:ascii="Arial" w:hAnsi="Arial"/>
          <w:b/>
          <w:color w:val="000000"/>
        </w:rPr>
        <w:t>Local trading management. New York does not take a daily interest but is first port of call for any specific issues. Daily position reports are sent to senior management (in New York and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What is the quality of supervision (geographic remoteness)?</w:t>
      </w:r>
      <w:r>
        <w:rPr>
          <w:rFonts w:cs="Arial" w:ascii="Arial" w:hAnsi="Arial"/>
          <w:b/>
          <w:color w:val="000000"/>
        </w:rPr>
        <w:t xml:space="preserve"> Office is a 2-hour flight from New York</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employee’s profile (key Enron personnel vs. local employees, knowledge of local language)? </w:t>
      </w:r>
      <w:r>
        <w:rPr>
          <w:rFonts w:cs="Arial" w:ascii="Arial" w:hAnsi="Arial"/>
          <w:b/>
          <w:color w:val="000000"/>
        </w:rPr>
        <w:t>All local employees</w:t>
      </w:r>
      <w:r>
        <w:rPr>
          <w:rFonts w:cs="Arial" w:ascii="Arial" w:hAnsi="Arial"/>
          <w:color w:val="000000"/>
        </w:rPr>
        <w:t xml:space="preserve">. </w:t>
      </w:r>
      <w:r>
        <w:rPr>
          <w:rFonts w:cs="Arial" w:ascii="Arial" w:hAnsi="Arial"/>
          <w:b/>
          <w:color w:val="000000"/>
        </w:rPr>
        <w:t>One trader from the original company. Long tenure for all staff</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What is the compensation structure (compensation based on individual or office performance)?</w:t>
      </w:r>
      <w:r>
        <w:rPr>
          <w:rFonts w:cs="Arial" w:ascii="Arial" w:hAnsi="Arial"/>
          <w:b/>
          <w:color w:val="000000"/>
        </w:rPr>
        <w:t xml:space="preserve"> See HR New York</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right" w:pos="9360" w:leader="none"/>
        </w:tabs>
        <w:jc w:val="both"/>
        <w:rPr>
          <w:rFonts w:ascii="Arial" w:hAnsi="Arial" w:cs="Arial"/>
          <w:color w:val="000000"/>
          <w:u w:val="single"/>
        </w:rPr>
      </w:pPr>
      <w:r>
        <w:rPr>
          <w:rFonts w:cs="Arial" w:ascii="Arial" w:hAnsi="Arial"/>
          <w:color w:val="000000"/>
          <w:u w:val="single"/>
        </w:rPr>
      </w:r>
    </w:p>
    <w:p>
      <w:pPr>
        <w:pStyle w:val="Heading1"/>
        <w:ind w:hanging="0" w:start="0"/>
        <w:rPr>
          <w:rFonts w:ascii="Arial" w:hAnsi="Arial" w:cs="Arial"/>
        </w:rPr>
      </w:pPr>
      <w:r>
        <w:rPr>
          <w:rFonts w:cs="Arial" w:ascii="Arial" w:hAnsi="Arial"/>
          <w:highlight w:val="lightGray"/>
        </w:rPr>
        <w:t>Counterparties</w:t>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Who are the primary counterparties?</w:t>
      </w:r>
      <w:r>
        <w:rPr>
          <w:rFonts w:cs="Arial" w:ascii="Arial" w:hAnsi="Arial"/>
          <w:color w:val="000000"/>
          <w:u w:val="single"/>
        </w:rPr>
        <w:t xml:space="preserve"> </w:t>
      </w:r>
      <w:r>
        <w:rPr>
          <w:rFonts w:cs="Arial" w:ascii="Arial" w:hAnsi="Arial"/>
          <w:b/>
          <w:color w:val="000000"/>
        </w:rPr>
        <w:t>The aged AR report shows a spread amongst the customer base with Beck Aluminium and Commonwealth Aluminium being the major counterparties. The current open vendor listing shows 75% of open items being with ASI.</w:t>
      </w:r>
      <w:r>
        <w:rPr>
          <w:rFonts w:cs="Arial" w:ascii="Arial" w:hAnsi="Arial"/>
          <w:color w:val="000000"/>
          <w:u w:val="single"/>
        </w:rPr>
        <w:tab/>
      </w:r>
    </w:p>
    <w:p>
      <w:pPr>
        <w:pStyle w:val="BodyTextIndent2"/>
        <w:jc w:val="both"/>
        <w:rPr/>
      </w:pPr>
      <w:r>
        <w:rPr>
          <w:rFonts w:cs="Arial" w:ascii="Arial" w:hAnsi="Arial"/>
        </w:rPr>
        <w:t xml:space="preserve">Does one counter-party comprise a significant amount of the office’s business? </w:t>
      </w:r>
      <w:r>
        <w:rPr>
          <w:rFonts w:cs="Arial" w:ascii="Arial" w:hAnsi="Arial"/>
          <w:b/>
        </w:rPr>
        <w:t>80% of the volumes of business passing through is made up from 10-15 counterparties. Per Derek none of these is dominant.</w:t>
      </w:r>
    </w:p>
    <w:p>
      <w:pPr>
        <w:pStyle w:val="Normal"/>
        <w:tabs>
          <w:tab w:val="clear" w:pos="720"/>
          <w:tab w:val="left" w:pos="360" w:leader="none"/>
          <w:tab w:val="right" w:pos="9360" w:leader="none"/>
        </w:tabs>
        <w:ind w:start="360" w:end="0"/>
        <w:jc w:val="both"/>
        <w:rPr/>
      </w:pPr>
      <w:r>
        <w:rPr>
          <w:rFonts w:cs="Arial" w:ascii="Arial" w:hAnsi="Arial"/>
          <w:color w:val="000000"/>
        </w:rPr>
        <w:t>What is the profile of the primary counterparties (i.e. years in operation, years in energy business, etc.)?</w:t>
      </w:r>
      <w:r>
        <w:rPr>
          <w:rFonts w:cs="Arial" w:ascii="Arial" w:hAnsi="Arial"/>
          <w:b/>
          <w:color w:val="000000"/>
        </w:rPr>
        <w:t>Not examined.</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Heading1"/>
        <w:ind w:hanging="0" w:start="0"/>
        <w:rPr>
          <w:rFonts w:ascii="Arial" w:hAnsi="Arial" w:cs="Arial"/>
          <w:color w:val="000000"/>
          <w:u w:val="single"/>
        </w:rPr>
      </w:pPr>
      <w:r>
        <w:rPr>
          <w:rFonts w:cs="Arial" w:ascii="Arial" w:hAnsi="Arial"/>
          <w:color w:val="000000"/>
          <w:u w:val="single"/>
        </w:rPr>
      </w:r>
    </w:p>
    <w:p>
      <w:pPr>
        <w:pStyle w:val="Heading1"/>
        <w:ind w:hanging="0" w:start="0"/>
        <w:rPr>
          <w:rFonts w:ascii="Arial" w:hAnsi="Arial" w:cs="Arial"/>
        </w:rPr>
      </w:pPr>
      <w:r>
        <w:rPr>
          <w:rFonts w:cs="Arial" w:ascii="Arial" w:hAnsi="Arial"/>
          <w:highlight w:val="lightGray"/>
        </w:rPr>
        <w:t>Competitors</w:t>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 xml:space="preserve">Who are the primary competitors? </w:t>
      </w:r>
      <w:r>
        <w:rPr>
          <w:rFonts w:cs="Arial" w:ascii="Arial" w:hAnsi="Arial"/>
          <w:b/>
          <w:color w:val="000000"/>
        </w:rPr>
        <w:t>See below</w:t>
      </w:r>
      <w:r>
        <w:rPr>
          <w:rFonts w:cs="Arial" w:ascii="Arial" w:hAnsi="Arial"/>
          <w:color w:val="000000"/>
        </w:rPr>
        <w:t>.</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profile of the primary competitors (i.e. years in operation, years in energy business, etc.)? </w:t>
      </w:r>
      <w:r>
        <w:rPr>
          <w:rFonts w:cs="Arial" w:ascii="Arial" w:hAnsi="Arial"/>
          <w:b/>
          <w:color w:val="000000"/>
        </w:rPr>
        <w:t>Hunter Douglas (a trading sub, in business for 15 years), Metal Exchange (trading and brick &amp; mortar, in business 20 years), Dominion (just merchanting, in business 10 years).</w:t>
      </w:r>
      <w:r>
        <w:rPr>
          <w:rFonts w:cs="Arial" w:ascii="Arial" w:hAnsi="Arial"/>
          <w:color w:val="000000"/>
          <w:u w:val="single"/>
        </w:rPr>
        <w:tab/>
      </w:r>
    </w:p>
    <w:p>
      <w:pPr>
        <w:pStyle w:val="Normal"/>
        <w:jc w:val="both"/>
        <w:rPr>
          <w:rFonts w:ascii="Arial" w:hAnsi="Arial" w:cs="Arial"/>
          <w:color w:val="000000"/>
          <w:u w:val="single"/>
        </w:rPr>
      </w:pPr>
      <w:r>
        <w:rPr>
          <w:rFonts w:cs="Arial" w:ascii="Arial" w:hAnsi="Arial"/>
          <w:color w:val="000000"/>
          <w:u w:val="single"/>
        </w:rPr>
      </w:r>
    </w:p>
    <w:p>
      <w:pPr>
        <w:pStyle w:val="Heading1"/>
        <w:ind w:hanging="0" w:start="0"/>
        <w:rPr>
          <w:rFonts w:ascii="Arial" w:hAnsi="Arial" w:cs="Arial"/>
        </w:rPr>
      </w:pPr>
      <w:r>
        <w:rPr>
          <w:rFonts w:cs="Arial" w:ascii="Arial" w:hAnsi="Arial"/>
          <w:highlight w:val="lightGray"/>
        </w:rPr>
        <w:t>Business Processes</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rPr>
        <w:t xml:space="preserve">Have Enron Corp risk management, credit and other procedures been adopted? </w:t>
      </w:r>
      <w:r>
        <w:rPr>
          <w:rFonts w:cs="Arial" w:ascii="Arial" w:hAnsi="Arial"/>
          <w:b/>
          <w:color w:val="000000"/>
        </w:rPr>
        <w:t>No. The current segregation of duties does not match the Enron model. The credit function does not prevent breaches of limits before they occur.</w:t>
      </w:r>
      <w:r>
        <w:rPr>
          <w:rFonts w:cs="Arial" w:ascii="Arial" w:hAnsi="Arial"/>
          <w:b/>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b/>
          <w:color w:val="000000"/>
          <w:u w:val="single"/>
        </w:rPr>
      </w:pPr>
      <w:r>
        <w:rPr>
          <w:rFonts w:cs="Arial" w:ascii="Arial" w:hAnsi="Arial"/>
          <w:b/>
          <w:color w:val="000000"/>
          <w:u w:val="single"/>
        </w:rPr>
      </w:r>
    </w:p>
    <w:p>
      <w:pPr>
        <w:pStyle w:val="Normal"/>
        <w:tabs>
          <w:tab w:val="clear" w:pos="720"/>
          <w:tab w:val="left" w:pos="360" w:leader="none"/>
          <w:tab w:val="right" w:pos="9360" w:leader="none"/>
        </w:tabs>
        <w:ind w:start="360" w:end="0"/>
        <w:jc w:val="both"/>
        <w:rPr/>
      </w:pPr>
      <w:r>
        <w:rPr>
          <w:rFonts w:cs="Arial" w:ascii="Arial" w:hAnsi="Arial"/>
          <w:b/>
          <w:color w:val="000000"/>
        </w:rPr>
        <w:t>Execution</w:t>
      </w:r>
      <w:r>
        <w:rPr>
          <w:rFonts w:cs="Arial" w:ascii="Arial" w:hAnsi="Arial"/>
          <w:color w:val="000000"/>
        </w:rPr>
        <w:t>_(location</w:t>
      </w:r>
      <w:r>
        <w:rPr>
          <w:rFonts w:cs="Arial" w:ascii="Arial" w:hAnsi="Arial"/>
          <w:b/>
          <w:color w:val="000000"/>
        </w:rPr>
        <w:t>) Chicago_________________________</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eastAsia="Arial" w:cs="Arial" w:ascii="Arial" w:hAnsi="Arial"/>
          <w:color w:val="000000"/>
        </w:rPr>
        <w:t xml:space="preserve"> </w:t>
      </w:r>
      <w:r>
        <w:rPr>
          <w:rFonts w:cs="Arial" w:ascii="Arial" w:hAnsi="Arial"/>
          <w:color w:val="000000"/>
        </w:rPr>
        <w:t xml:space="preserve">Is there an established limit structure (authorised commercial personnel list, individual transactions, net open position, VAR, sensitivity, loss, etc)? </w:t>
      </w:r>
      <w:r>
        <w:rPr>
          <w:rFonts w:cs="Arial" w:ascii="Arial" w:hAnsi="Arial"/>
          <w:b/>
          <w:color w:val="000000"/>
        </w:rPr>
        <w:t>Simple structure in place. Risk management is staffed by one person in New York for secondary business. Agency: See London.</w:t>
      </w:r>
      <w:r>
        <w:rPr>
          <w:rFonts w:cs="Arial" w:ascii="Arial" w:hAnsi="Arial"/>
          <w:b/>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Is an established structure desk independent from the commercial function? </w:t>
      </w:r>
      <w:r>
        <w:rPr>
          <w:rFonts w:cs="Arial" w:ascii="Arial" w:hAnsi="Arial"/>
          <w:b/>
          <w:color w:val="000000"/>
        </w:rPr>
        <w:t>Secondary</w:t>
      </w:r>
      <w:r>
        <w:rPr>
          <w:rFonts w:cs="Arial" w:ascii="Arial" w:hAnsi="Arial"/>
          <w:color w:val="000000"/>
        </w:rPr>
        <w:t xml:space="preserve">: </w:t>
      </w:r>
      <w:r>
        <w:rPr>
          <w:rFonts w:cs="Arial" w:ascii="Arial" w:hAnsi="Arial"/>
          <w:b/>
          <w:color w:val="000000"/>
        </w:rPr>
        <w:t>N/A Agency: See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What is the current credit approval policy for new counterparties? At what point during deal negotiations is credit involved</w:t>
      </w:r>
      <w:r>
        <w:rPr>
          <w:rFonts w:cs="Arial" w:ascii="Arial" w:hAnsi="Arial"/>
          <w:b/>
          <w:color w:val="000000"/>
        </w:rPr>
        <w:t>? Secondary: Trader is responsible for initiating credit approval (see Appendix 9). Approach is not robust – see comments above. However standard terms negotiated for sales are prepayment subject to credit approval (i.e. they must prepay unless credit say otherwise). Agency: see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 xml:space="preserve">Are the commercial employees' telephone lines taped? </w:t>
      </w:r>
      <w:r>
        <w:rPr>
          <w:rFonts w:cs="Arial" w:ascii="Arial" w:hAnsi="Arial"/>
          <w:b/>
          <w:color w:val="000000"/>
        </w:rPr>
        <w:t>No</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personnel restricted from performing deals for their own account? </w:t>
      </w:r>
      <w:r>
        <w:rPr>
          <w:rFonts w:cs="Arial" w:ascii="Arial" w:hAnsi="Arial"/>
          <w:b/>
          <w:color w:val="000000"/>
        </w:rPr>
        <w:t>No formal procedure</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b/>
          <w:color w:val="000000"/>
          <w:u w:val="single"/>
        </w:rPr>
      </w:pPr>
      <w:r>
        <w:rPr>
          <w:rFonts w:cs="Arial" w:ascii="Arial" w:hAnsi="Arial"/>
          <w:b/>
          <w:color w:val="000000"/>
          <w:u w:val="single"/>
        </w:rPr>
      </w:r>
    </w:p>
    <w:p>
      <w:pPr>
        <w:pStyle w:val="Normal"/>
        <w:tabs>
          <w:tab w:val="clear" w:pos="720"/>
          <w:tab w:val="left" w:pos="360" w:leader="none"/>
          <w:tab w:val="right" w:pos="9360" w:leader="none"/>
        </w:tabs>
        <w:ind w:start="360" w:end="0"/>
        <w:jc w:val="both"/>
        <w:rPr/>
      </w:pPr>
      <w:r>
        <w:rPr>
          <w:rFonts w:cs="Arial" w:ascii="Arial" w:hAnsi="Arial"/>
          <w:b/>
          <w:color w:val="000000"/>
        </w:rPr>
        <w:t xml:space="preserve">Capture </w:t>
      </w:r>
      <w:r>
        <w:rPr>
          <w:rFonts w:cs="Arial" w:ascii="Arial" w:hAnsi="Arial"/>
          <w:color w:val="000000"/>
        </w:rPr>
        <w:t>(location</w:t>
      </w:r>
      <w:r>
        <w:rPr>
          <w:rFonts w:cs="Arial" w:ascii="Arial" w:hAnsi="Arial"/>
          <w:b/>
          <w:color w:val="000000"/>
          <w:u w:val="single"/>
        </w:rPr>
        <w:t>) Chicago &amp; New York</w:t>
      </w:r>
      <w:r>
        <w:rPr>
          <w:rFonts w:cs="Arial" w:ascii="Arial" w:hAnsi="Arial"/>
          <w:b/>
          <w:color w:val="000000"/>
        </w:rPr>
        <w:t>___________________________</w:t>
      </w:r>
      <w:r>
        <w:rPr>
          <w:rFonts w:cs="Arial" w:ascii="Arial" w:hAnsi="Arial"/>
          <w:b/>
          <w:color w:val="000000"/>
          <w:u w:val="single"/>
        </w:rPr>
        <w:t xml:space="preserve">              </w:t>
      </w:r>
    </w:p>
    <w:p>
      <w:pPr>
        <w:pStyle w:val="Normal"/>
        <w:tabs>
          <w:tab w:val="clear" w:pos="720"/>
          <w:tab w:val="left" w:pos="360" w:leader="none"/>
          <w:tab w:val="right" w:pos="9360" w:leader="none"/>
        </w:tabs>
        <w:ind w:start="360" w:end="0"/>
        <w:jc w:val="both"/>
        <w:rPr>
          <w:rFonts w:ascii="Arial" w:hAnsi="Arial" w:eastAsia="Arial" w:cs="Arial"/>
          <w:b/>
          <w:color w:val="000000"/>
          <w:u w:val="single"/>
        </w:rPr>
      </w:pPr>
      <w:r>
        <w:rPr>
          <w:rFonts w:eastAsia="Arial" w:cs="Arial" w:ascii="Arial" w:hAnsi="Arial"/>
          <w:b/>
          <w:color w:val="000000"/>
          <w:u w:val="single"/>
        </w:rPr>
        <w:t xml:space="preserve">                              </w:t>
      </w:r>
    </w:p>
    <w:p>
      <w:pPr>
        <w:pStyle w:val="Normal"/>
        <w:tabs>
          <w:tab w:val="clear" w:pos="720"/>
          <w:tab w:val="left" w:pos="360" w:leader="none"/>
          <w:tab w:val="right" w:pos="9360" w:leader="none"/>
        </w:tabs>
        <w:ind w:start="360" w:end="0"/>
        <w:jc w:val="both"/>
        <w:rPr/>
      </w:pPr>
      <w:r>
        <w:rPr>
          <w:rFonts w:cs="Arial" w:ascii="Arial" w:hAnsi="Arial"/>
          <w:color w:val="000000"/>
        </w:rPr>
        <w:t xml:space="preserve">Are the deal tickets/deal sheets automated? </w:t>
      </w:r>
      <w:r>
        <w:rPr>
          <w:rFonts w:cs="Arial" w:ascii="Arial" w:hAnsi="Arial"/>
          <w:b/>
          <w:color w:val="000000"/>
        </w:rPr>
        <w:t>No –excel sheet (see Appendix 3)</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 xml:space="preserve">Are broker accounts confirmed daily?  </w:t>
      </w:r>
      <w:r>
        <w:rPr>
          <w:rFonts w:cs="Arial" w:ascii="Arial" w:hAnsi="Arial"/>
          <w:b/>
          <w:color w:val="000000"/>
        </w:rPr>
        <w:t>Secondary:</w:t>
      </w:r>
      <w:r>
        <w:rPr>
          <w:rFonts w:cs="Arial" w:ascii="Arial" w:hAnsi="Arial"/>
          <w:color w:val="000000"/>
        </w:rPr>
        <w:t xml:space="preserve"> </w:t>
      </w:r>
      <w:r>
        <w:rPr>
          <w:rFonts w:cs="Arial" w:ascii="Arial" w:hAnsi="Arial"/>
          <w:b/>
          <w:color w:val="000000"/>
        </w:rPr>
        <w:t>MGL Inc used for 90% of business. MGL Inc reconciles all external brokers daily.</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 xml:space="preserve">Is a comparison performed between deal sheets, commercial system and confirmations? </w:t>
      </w:r>
      <w:r>
        <w:rPr>
          <w:rFonts w:cs="Arial" w:ascii="Arial" w:hAnsi="Arial"/>
          <w:b/>
          <w:color w:val="000000"/>
        </w:rPr>
        <w:t>Secondary</w:t>
      </w:r>
      <w:r>
        <w:rPr>
          <w:rFonts w:cs="Arial" w:ascii="Arial" w:hAnsi="Arial"/>
          <w:color w:val="000000"/>
        </w:rPr>
        <w:t xml:space="preserve">: </w:t>
      </w:r>
      <w:r>
        <w:rPr>
          <w:rFonts w:cs="Arial" w:ascii="Arial" w:hAnsi="Arial"/>
          <w:b/>
          <w:color w:val="000000"/>
        </w:rPr>
        <w:t>Trader agrees confirmation to contract note prior to sign-off (confirmation is produced by Access system). Contracts check this to the system when sent. NB New York receives the contract note and confirmation.  Agency – see London business.</w:t>
      </w:r>
    </w:p>
    <w:p>
      <w:pPr>
        <w:pStyle w:val="Normal"/>
        <w:tabs>
          <w:tab w:val="clear" w:pos="720"/>
          <w:tab w:val="left" w:pos="360" w:leader="none"/>
          <w:tab w:val="right" w:pos="9360" w:leader="none"/>
        </w:tabs>
        <w:ind w:start="360" w:end="0"/>
        <w:jc w:val="both"/>
        <w:rPr>
          <w:rFonts w:ascii="Arial" w:hAnsi="Arial" w:cs="Arial"/>
          <w:b/>
          <w:color w:val="000000"/>
          <w:u w:val="single"/>
        </w:rPr>
      </w:pPr>
      <w:r>
        <w:rPr>
          <w:rFonts w:cs="Arial" w:ascii="Arial" w:hAnsi="Arial"/>
          <w:b/>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Is a volumetric reconciliation performed?</w:t>
      </w:r>
      <w:r>
        <w:rPr>
          <w:rFonts w:cs="Arial" w:ascii="Arial" w:hAnsi="Arial"/>
          <w:b/>
          <w:color w:val="000000"/>
        </w:rPr>
        <w:t xml:space="preserve"> Secondary:</w:t>
      </w:r>
      <w:r>
        <w:rPr>
          <w:rFonts w:cs="Arial" w:ascii="Arial" w:hAnsi="Arial"/>
          <w:color w:val="000000"/>
        </w:rPr>
        <w:t xml:space="preserve"> </w:t>
      </w:r>
      <w:r>
        <w:rPr>
          <w:rFonts w:cs="Arial" w:ascii="Arial" w:hAnsi="Arial"/>
          <w:b/>
          <w:color w:val="000000"/>
        </w:rPr>
        <w:t>Entry into the WANG system is in NY. This is reconciled to the DPR sent out by Derek by accounting in NY. Derek reconciles his DPR to the dual entered deals in the AS400. Agency: See London business</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What type of confirmation and/or contract is done with the counterparty/broker (positive, negative, standard template, etc.)?</w:t>
      </w:r>
      <w:r>
        <w:rPr>
          <w:rFonts w:cs="Arial" w:ascii="Arial" w:hAnsi="Arial"/>
          <w:b/>
          <w:color w:val="000000"/>
        </w:rPr>
        <w:t>For secondary business</w:t>
      </w:r>
      <w:r>
        <w:rPr>
          <w:rFonts w:cs="Arial" w:ascii="Arial" w:hAnsi="Arial"/>
          <w:color w:val="000000"/>
        </w:rPr>
        <w:t xml:space="preserve"> - </w:t>
      </w:r>
      <w:r>
        <w:rPr>
          <w:rFonts w:cs="Arial" w:ascii="Arial" w:hAnsi="Arial"/>
          <w:b/>
          <w:color w:val="000000"/>
        </w:rPr>
        <w:t>Negative. Confirmations are standard off the Access system template (see Appendix 4). Agency confirmations in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 xml:space="preserve">Do commercial personnel validate their deals daily to a Blotter? Secondary: </w:t>
      </w:r>
      <w:r>
        <w:rPr>
          <w:rFonts w:cs="Arial" w:ascii="Arial" w:hAnsi="Arial"/>
          <w:b/>
          <w:color w:val="000000"/>
        </w:rPr>
        <w:t>Trader agrees confirmation to his tickets. Agency: control in London (they are faxed the ticket).</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b/>
          <w:color w:val="000000"/>
        </w:rPr>
        <w:t xml:space="preserve">Risk Management </w:t>
      </w:r>
      <w:r>
        <w:rPr>
          <w:rFonts w:cs="Arial" w:ascii="Arial" w:hAnsi="Arial"/>
          <w:color w:val="000000"/>
        </w:rPr>
        <w:t>(location</w:t>
      </w:r>
      <w:r>
        <w:rPr>
          <w:rFonts w:cs="Arial" w:ascii="Arial" w:hAnsi="Arial"/>
          <w:b/>
          <w:color w:val="000000"/>
        </w:rPr>
        <w:t>) New York for secondary, London for agency._____________________</w:t>
      </w:r>
    </w:p>
    <w:p>
      <w:pPr>
        <w:pStyle w:val="Normal"/>
        <w:tabs>
          <w:tab w:val="clear" w:pos="720"/>
          <w:tab w:val="left" w:pos="360" w:leader="none"/>
          <w:tab w:val="right" w:pos="9360" w:leader="none"/>
        </w:tabs>
        <w:ind w:start="360" w:end="0"/>
        <w:jc w:val="both"/>
        <w:rPr>
          <w:rFonts w:ascii="Arial" w:hAnsi="Arial" w:cs="Arial"/>
          <w:b/>
          <w:color w:val="000000"/>
        </w:rPr>
      </w:pPr>
      <w:r>
        <w:rPr>
          <w:rFonts w:cs="Arial" w:ascii="Arial" w:hAnsi="Arial"/>
          <w:b/>
          <w:color w:val="000000"/>
        </w:rPr>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Are risks disaggregated and measured in independent risk books (i.e., price, basis, etc)?</w:t>
      </w:r>
    </w:p>
    <w:p>
      <w:pPr>
        <w:pStyle w:val="Normal"/>
        <w:tabs>
          <w:tab w:val="clear" w:pos="720"/>
          <w:tab w:val="left" w:pos="360" w:leader="none"/>
          <w:tab w:val="right" w:pos="9360" w:leader="none"/>
        </w:tabs>
        <w:ind w:start="360" w:end="0"/>
        <w:jc w:val="both"/>
        <w:rPr>
          <w:rFonts w:ascii="Arial" w:hAnsi="Arial" w:cs="Arial"/>
          <w:b/>
          <w:color w:val="000000"/>
        </w:rPr>
      </w:pPr>
      <w:r>
        <w:rPr>
          <w:rFonts w:cs="Arial" w:ascii="Arial" w:hAnsi="Arial"/>
          <w:b/>
          <w:color w:val="000000"/>
        </w:rPr>
        <w:t>Secondary: Spread only. Agency: see London.</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b/>
          <w:color w:val="000000"/>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positions aggregated daily in a common unit of measure? Secondary: </w:t>
      </w:r>
      <w:r>
        <w:rPr>
          <w:rFonts w:cs="Arial" w:ascii="Arial" w:hAnsi="Arial"/>
          <w:b/>
          <w:color w:val="000000"/>
        </w:rPr>
        <w:t>Daily Report sent out by Derek in tons (see Appendix 9). Agency: See London. MERCUR systems aggregates risks across all businesses for review in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 xml:space="preserve">Are positions measured against established limits? </w:t>
      </w:r>
      <w:r>
        <w:rPr>
          <w:rFonts w:cs="Arial" w:ascii="Arial" w:hAnsi="Arial"/>
          <w:b/>
          <w:color w:val="000000"/>
        </w:rPr>
        <w:t>Yes, via MERCUR.</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Are positions captured in a formal DPR which is reviewed by MG Senior Management?</w:t>
      </w:r>
    </w:p>
    <w:p>
      <w:pPr>
        <w:pStyle w:val="BodyTextIndent"/>
        <w:jc w:val="both"/>
        <w:rPr>
          <w:rFonts w:ascii="Arial" w:hAnsi="Arial" w:cs="Arial"/>
        </w:rPr>
      </w:pPr>
      <w:r>
        <w:rPr>
          <w:rFonts w:cs="Arial" w:ascii="Arial" w:hAnsi="Arial"/>
        </w:rPr>
        <w:t>Secondary: Daily DPR sent out to NY &amp; London senior management daily. Agency: See London.</w:t>
      </w:r>
    </w:p>
    <w:p>
      <w:pPr>
        <w:pStyle w:val="BodyTextIndent"/>
        <w:jc w:val="both"/>
        <w:rPr>
          <w:rFonts w:ascii="Arial" w:hAnsi="Arial" w:cs="Arial"/>
        </w:rPr>
      </w:pPr>
      <w:r>
        <w:rPr>
          <w:rFonts w:cs="Arial" w:ascii="Arial" w:hAnsi="Arial"/>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MTM results captured daily? </w:t>
      </w:r>
      <w:r>
        <w:rPr>
          <w:rFonts w:cs="Arial" w:ascii="Arial" w:hAnsi="Arial"/>
          <w:b/>
          <w:color w:val="000000"/>
        </w:rPr>
        <w:t>Secondary</w:t>
      </w:r>
      <w:r>
        <w:rPr>
          <w:rFonts w:cs="Arial" w:ascii="Arial" w:hAnsi="Arial"/>
          <w:color w:val="000000"/>
        </w:rPr>
        <w:t>:</w:t>
      </w:r>
      <w:r>
        <w:rPr>
          <w:rFonts w:cs="Arial" w:ascii="Arial" w:hAnsi="Arial"/>
          <w:b/>
          <w:color w:val="000000"/>
        </w:rPr>
        <w:t xml:space="preserve"> MTM on premium carried out twice monthly. MTM on underlying LME price daily. Agency: see London. </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 xml:space="preserve">What are the independent curve validation and escalation procedures? </w:t>
      </w:r>
      <w:r>
        <w:rPr>
          <w:rFonts w:cs="Arial" w:ascii="Arial" w:hAnsi="Arial"/>
          <w:b/>
          <w:color w:val="000000"/>
        </w:rPr>
        <w:t>Most marks are off LME. Premium moves reviewed by accounting in New York when updated twice monthly.</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Are limits monitored with excesses reported to management on a timely basis?</w:t>
      </w:r>
      <w:r>
        <w:rPr>
          <w:rFonts w:cs="Arial" w:ascii="Arial" w:hAnsi="Arial"/>
          <w:b/>
          <w:color w:val="000000"/>
        </w:rPr>
        <w:t xml:space="preserve"> RAC have assessed MERCUR systems and reporting as being of reasonable quality.</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b/>
          <w:color w:val="000000"/>
          <w:u w:val="single"/>
        </w:rPr>
      </w:pPr>
      <w:r>
        <w:rPr>
          <w:rFonts w:cs="Arial" w:ascii="Arial" w:hAnsi="Arial"/>
          <w:b/>
          <w:color w:val="000000"/>
          <w:u w:val="single"/>
        </w:rPr>
      </w:r>
    </w:p>
    <w:p>
      <w:pPr>
        <w:pStyle w:val="Normal"/>
        <w:tabs>
          <w:tab w:val="clear" w:pos="720"/>
          <w:tab w:val="left" w:pos="360" w:leader="none"/>
          <w:tab w:val="right" w:pos="9360" w:leader="none"/>
        </w:tabs>
        <w:ind w:start="360" w:end="0"/>
        <w:jc w:val="both"/>
        <w:rPr/>
      </w:pPr>
      <w:r>
        <w:rPr>
          <w:rFonts w:cs="Arial" w:ascii="Arial" w:hAnsi="Arial"/>
          <w:b/>
          <w:color w:val="000000"/>
        </w:rPr>
        <w:t xml:space="preserve">Valuation &amp; Model Risk </w:t>
      </w:r>
      <w:r>
        <w:rPr>
          <w:rFonts w:cs="Arial" w:ascii="Arial" w:hAnsi="Arial"/>
          <w:color w:val="000000"/>
        </w:rPr>
        <w:t>(location</w:t>
      </w:r>
      <w:r>
        <w:rPr>
          <w:rFonts w:cs="Arial" w:ascii="Arial" w:hAnsi="Arial"/>
          <w:b/>
          <w:color w:val="000000"/>
        </w:rPr>
        <w:t>) Not aware of specific function___________________</w:t>
      </w:r>
    </w:p>
    <w:p>
      <w:pPr>
        <w:pStyle w:val="Normal"/>
        <w:tabs>
          <w:tab w:val="clear" w:pos="720"/>
          <w:tab w:val="left" w:pos="360" w:leader="none"/>
          <w:tab w:val="right" w:pos="9360" w:leader="none"/>
        </w:tabs>
        <w:ind w:start="360" w:end="0"/>
        <w:jc w:val="both"/>
        <w:rPr>
          <w:rFonts w:ascii="Arial" w:hAnsi="Arial" w:cs="Arial"/>
          <w:b/>
          <w:color w:val="000000"/>
        </w:rPr>
      </w:pPr>
      <w:r>
        <w:rPr>
          <w:rFonts w:cs="Arial" w:ascii="Arial" w:hAnsi="Arial"/>
          <w:b/>
          <w:color w:val="000000"/>
        </w:rPr>
      </w:r>
    </w:p>
    <w:p>
      <w:pPr>
        <w:pStyle w:val="Normal"/>
        <w:tabs>
          <w:tab w:val="clear" w:pos="720"/>
          <w:tab w:val="left" w:pos="360" w:leader="none"/>
          <w:tab w:val="right" w:pos="9360" w:leader="none"/>
        </w:tabs>
        <w:ind w:start="360" w:end="0"/>
        <w:jc w:val="both"/>
        <w:rPr/>
      </w:pPr>
      <w:r>
        <w:rPr>
          <w:rFonts w:cs="Arial" w:ascii="Arial" w:hAnsi="Arial"/>
          <w:color w:val="000000"/>
        </w:rPr>
        <w:t xml:space="preserve">Is an independent validation of pricing and valuation models performed? </w:t>
      </w:r>
      <w:r>
        <w:rPr>
          <w:rFonts w:cs="Arial" w:ascii="Arial" w:hAnsi="Arial"/>
          <w:b/>
          <w:color w:val="000000"/>
        </w:rPr>
        <w:t>Futures / Forwards only.  Not aware of independent model checks on WANG system. AS 400 development out of London</w:t>
      </w:r>
      <w:r>
        <w:rPr>
          <w:rFonts w:cs="Arial" w:ascii="Arial" w:hAnsi="Arial"/>
          <w:color w:val="000000"/>
        </w:rPr>
        <w:t>.</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assessment of results using alternative models (e.g. VAR, sensitivity)? </w:t>
      </w:r>
      <w:r>
        <w:rPr>
          <w:rFonts w:cs="Arial" w:ascii="Arial" w:hAnsi="Arial"/>
          <w:b/>
          <w:color w:val="000000"/>
        </w:rPr>
        <w:t>RAC Group will be assessing</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Are all models used included in the model inventory maintained by the RAC Group?</w:t>
      </w:r>
      <w:r>
        <w:rPr>
          <w:rFonts w:cs="Arial" w:ascii="Arial" w:hAnsi="Arial"/>
          <w:b/>
          <w:color w:val="000000"/>
        </w:rPr>
        <w:t xml:space="preserve"> RAC Group will be assessing</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rFonts w:ascii="Arial" w:hAnsi="Arial" w:cs="Arial"/>
          <w:b/>
          <w:color w:val="000000"/>
        </w:rPr>
      </w:pPr>
      <w:r>
        <w:rPr>
          <w:rFonts w:cs="Arial" w:ascii="Arial" w:hAnsi="Arial"/>
          <w:color w:val="000000"/>
        </w:rPr>
        <w:t>Is look-back of actual results performed on a regular basis?</w:t>
      </w:r>
      <w:r>
        <w:rPr>
          <w:rFonts w:cs="Arial" w:ascii="Arial" w:hAnsi="Arial"/>
          <w:b/>
          <w:color w:val="000000"/>
        </w:rPr>
        <w:t xml:space="preserve"> RAC Group will be assessing</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b/>
          <w:color w:val="000000"/>
        </w:rPr>
      </w:pPr>
      <w:r>
        <w:rPr>
          <w:rFonts w:cs="Arial" w:ascii="Arial" w:hAnsi="Arial"/>
          <w:b/>
          <w:color w:val="000000"/>
        </w:rPr>
      </w:r>
    </w:p>
    <w:p>
      <w:pPr>
        <w:pStyle w:val="Normal"/>
        <w:tabs>
          <w:tab w:val="clear" w:pos="720"/>
          <w:tab w:val="left" w:pos="360" w:leader="none"/>
          <w:tab w:val="right" w:pos="9360" w:leader="none"/>
        </w:tabs>
        <w:ind w:start="360" w:end="0"/>
        <w:jc w:val="both"/>
        <w:rPr/>
      </w:pPr>
      <w:r>
        <w:rPr>
          <w:rFonts w:cs="Arial" w:ascii="Arial" w:hAnsi="Arial"/>
          <w:b/>
          <w:color w:val="000000"/>
        </w:rPr>
        <w:t xml:space="preserve">Logistics/ Deal Settlements </w:t>
      </w:r>
      <w:r>
        <w:rPr>
          <w:rFonts w:cs="Arial" w:ascii="Arial" w:hAnsi="Arial"/>
          <w:color w:val="000000"/>
        </w:rPr>
        <w:t xml:space="preserve">(location) </w:t>
      </w:r>
      <w:r>
        <w:rPr>
          <w:rFonts w:cs="Arial" w:ascii="Arial" w:hAnsi="Arial"/>
          <w:b/>
          <w:color w:val="000000"/>
        </w:rPr>
        <w:t>Secondary: Chicago. Agency: Chicago, moving to New York / Montreal</w:t>
      </w:r>
    </w:p>
    <w:p>
      <w:pPr>
        <w:pStyle w:val="Normal"/>
        <w:tabs>
          <w:tab w:val="clear" w:pos="720"/>
          <w:tab w:val="left" w:pos="360" w:leader="none"/>
          <w:tab w:val="right" w:pos="9360" w:leader="none"/>
        </w:tabs>
        <w:ind w:start="360" w:end="0"/>
        <w:jc w:val="both"/>
        <w:rPr>
          <w:rFonts w:ascii="Arial" w:hAnsi="Arial" w:cs="Arial"/>
          <w:b/>
          <w:color w:val="000000"/>
        </w:rPr>
      </w:pPr>
      <w:r>
        <w:rPr>
          <w:rFonts w:cs="Arial" w:ascii="Arial" w:hAnsi="Arial"/>
          <w:b/>
          <w:color w:val="000000"/>
        </w:rPr>
      </w:r>
    </w:p>
    <w:p>
      <w:pPr>
        <w:pStyle w:val="Normal"/>
        <w:tabs>
          <w:tab w:val="clear" w:pos="720"/>
          <w:tab w:val="left" w:pos="360" w:leader="none"/>
          <w:tab w:val="right" w:pos="9360" w:leader="none"/>
        </w:tabs>
        <w:ind w:start="360" w:end="0"/>
        <w:jc w:val="both"/>
        <w:rPr/>
      </w:pPr>
      <w:r>
        <w:rPr>
          <w:rFonts w:cs="Arial" w:ascii="Arial" w:hAnsi="Arial"/>
          <w:color w:val="000000"/>
        </w:rPr>
        <w:t xml:space="preserve">Are bank accounts reconciled timely and independent of the front office functions? </w:t>
      </w:r>
      <w:r>
        <w:rPr>
          <w:rFonts w:cs="Arial" w:ascii="Arial" w:hAnsi="Arial"/>
          <w:b/>
          <w:color w:val="000000"/>
        </w:rPr>
        <w:t>Secondary: Yes in New York, except petty cash which is run in the Chicago office ($2000 limit). Agency: Yes, In London / New York</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Normal"/>
        <w:tabs>
          <w:tab w:val="clear" w:pos="720"/>
          <w:tab w:val="left" w:pos="360" w:leader="none"/>
          <w:tab w:val="right" w:pos="9360" w:leader="none"/>
        </w:tabs>
        <w:ind w:start="360" w:end="0"/>
        <w:jc w:val="both"/>
        <w:rPr/>
      </w:pPr>
      <w:r>
        <w:rPr>
          <w:rFonts w:cs="Arial" w:ascii="Arial" w:hAnsi="Arial"/>
          <w:color w:val="000000"/>
        </w:rPr>
        <w:t xml:space="preserve">Are brokerage accounts independently established and reconciled on a timely basis? </w:t>
      </w:r>
      <w:r>
        <w:rPr>
          <w:rFonts w:cs="Arial" w:ascii="Arial" w:hAnsi="Arial"/>
          <w:b/>
          <w:color w:val="000000"/>
        </w:rPr>
        <w:t>Secondary: Yes, Brokerage via New York, MGL Inc. Agency: Yes, in London.</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settlement instructions established and modified independent of commercial personnel? </w:t>
      </w:r>
      <w:r>
        <w:rPr>
          <w:rFonts w:cs="Arial" w:ascii="Arial" w:hAnsi="Arial"/>
          <w:b/>
          <w:color w:val="000000"/>
        </w:rPr>
        <w:t>Yes in New York or London. New York by Harry Zlotnick</w:t>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Is there an established customer account discrepancy resolution and reconciliation process?</w:t>
      </w:r>
    </w:p>
    <w:p>
      <w:pPr>
        <w:pStyle w:val="Heading4"/>
        <w:rPr>
          <w:rFonts w:ascii="Arial" w:hAnsi="Arial" w:cs="Arial"/>
        </w:rPr>
      </w:pPr>
      <w:r>
        <w:rPr>
          <w:rFonts w:cs="Arial" w:ascii="Arial" w:hAnsi="Arial"/>
        </w:rPr>
        <w:t>No customer accounts</w:t>
      </w:r>
    </w:p>
    <w:p>
      <w:pPr>
        <w:pStyle w:val="Heading4"/>
        <w:rPr>
          <w:rFonts w:ascii="Arial" w:hAnsi="Arial" w:cs="Arial"/>
        </w:rPr>
      </w:pPr>
      <w:r>
        <w:rPr>
          <w:rFonts w:cs="Arial" w:ascii="Arial" w:hAnsi="Arial"/>
        </w:rPr>
        <w:tab/>
        <w:t xml:space="preserve"> </w:t>
      </w:r>
    </w:p>
    <w:p>
      <w:pPr>
        <w:pStyle w:val="Normal"/>
        <w:tabs>
          <w:tab w:val="clear" w:pos="720"/>
          <w:tab w:val="left" w:pos="360" w:leader="none"/>
          <w:tab w:val="right" w:pos="9360" w:leader="none"/>
        </w:tabs>
        <w:ind w:start="360" w:end="0"/>
        <w:jc w:val="both"/>
        <w:rPr/>
      </w:pPr>
      <w:r>
        <w:rPr>
          <w:rFonts w:cs="Arial" w:ascii="Arial" w:hAnsi="Arial"/>
          <w:color w:val="000000"/>
        </w:rPr>
        <w:t>Is an accurate accounts receivable ageing maintained and regularly monitored?</w:t>
      </w:r>
      <w:r>
        <w:rPr>
          <w:rFonts w:cs="Arial" w:ascii="Arial" w:hAnsi="Arial"/>
          <w:b/>
          <w:color w:val="000000"/>
        </w:rPr>
        <w:t xml:space="preserve"> Secondary: Monitored by Contracts in Chicago</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there proper segregations of duties for invoicing, collecting and recording of purchase, sale and transportation transactions? </w:t>
      </w:r>
      <w:r>
        <w:rPr>
          <w:rFonts w:cs="Arial" w:ascii="Arial" w:hAnsi="Arial"/>
          <w:b/>
          <w:color w:val="000000"/>
        </w:rPr>
        <w:t>Remote nature office means that co-located traffic and contracts &amp; AR/AP is not ideal.</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Is the scheduling of physical commodity movement performed independent of the commercial function? </w:t>
      </w:r>
      <w:r>
        <w:rPr>
          <w:rFonts w:cs="Arial" w:ascii="Arial" w:hAnsi="Arial"/>
          <w:b/>
          <w:color w:val="000000"/>
        </w:rPr>
        <w:t>No: Traffic commercial very closely tied.</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How is volumetric data captured and reconciled (i.e., operational analysis)? </w:t>
      </w:r>
      <w:r>
        <w:rPr>
          <w:rFonts w:cs="Arial" w:ascii="Arial" w:hAnsi="Arial"/>
          <w:b/>
          <w:color w:val="000000"/>
        </w:rPr>
        <w:t>Secondary</w:t>
      </w:r>
      <w:r>
        <w:rPr>
          <w:rFonts w:cs="Arial" w:ascii="Arial" w:hAnsi="Arial"/>
          <w:color w:val="000000"/>
        </w:rPr>
        <w:t xml:space="preserve">: </w:t>
      </w:r>
      <w:r>
        <w:rPr>
          <w:rFonts w:cs="Arial" w:ascii="Arial" w:hAnsi="Arial"/>
          <w:b/>
          <w:color w:val="000000"/>
        </w:rPr>
        <w:t>Access system. Twice annual recs. to warehouses. Agency: See London</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b/>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Are imbalances, UA4 and intercompany transactions regularly monitored and reconciled?</w:t>
      </w:r>
    </w:p>
    <w:p>
      <w:pPr>
        <w:pStyle w:val="BodyTextIndent"/>
        <w:jc w:val="both"/>
        <w:rPr>
          <w:rFonts w:ascii="Arial" w:hAnsi="Arial" w:cs="Arial"/>
        </w:rPr>
      </w:pPr>
      <w:r>
        <w:rPr>
          <w:rFonts w:cs="Arial" w:ascii="Arial" w:hAnsi="Arial"/>
        </w:rPr>
        <w:t>Secondary: Accounting is carried out in New York. Position differences with warehouses are reconciled and cleared down twice annually. Intercompany transactions are treated the same as external counterparties. Agency: See London.</w:t>
      </w:r>
    </w:p>
    <w:p>
      <w:pPr>
        <w:pStyle w:val="BodyTextIndent"/>
        <w:jc w:val="both"/>
        <w:rPr>
          <w:rFonts w:ascii="Arial" w:hAnsi="Arial" w:cs="Arial"/>
        </w:rPr>
      </w:pPr>
      <w:r>
        <w:rPr>
          <w:rFonts w:cs="Arial" w:ascii="Arial" w:hAnsi="Arial"/>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commodity physical positions maintained in storage facilities? </w:t>
      </w:r>
      <w:r>
        <w:rPr>
          <w:rFonts w:cs="Arial" w:ascii="Arial" w:hAnsi="Arial"/>
          <w:b/>
          <w:color w:val="000000"/>
        </w:rPr>
        <w:t>Secondary</w:t>
      </w:r>
      <w:r>
        <w:rPr>
          <w:rFonts w:cs="Arial" w:ascii="Arial" w:hAnsi="Arial"/>
          <w:color w:val="000000"/>
        </w:rPr>
        <w:t xml:space="preserve">: </w:t>
      </w:r>
      <w:r>
        <w:rPr>
          <w:rFonts w:cs="Arial" w:ascii="Arial" w:hAnsi="Arial"/>
          <w:b/>
          <w:color w:val="000000"/>
        </w:rPr>
        <w:t>Yes. Most in the US. Some in Europe and Asia. Agency: See London</w:t>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b/>
          <w:color w:val="000000"/>
        </w:rPr>
      </w:pPr>
      <w:r>
        <w:rPr>
          <w:rFonts w:cs="Arial" w:ascii="Arial" w:hAnsi="Arial"/>
          <w:b/>
          <w:color w:val="000000"/>
        </w:rPr>
      </w:r>
    </w:p>
    <w:p>
      <w:pPr>
        <w:pStyle w:val="Normal"/>
        <w:tabs>
          <w:tab w:val="clear" w:pos="720"/>
          <w:tab w:val="left" w:pos="360" w:leader="none"/>
          <w:tab w:val="right" w:pos="9360" w:leader="none"/>
        </w:tabs>
        <w:ind w:start="360" w:end="0"/>
        <w:jc w:val="both"/>
        <w:rPr>
          <w:rFonts w:ascii="Arial" w:hAnsi="Arial" w:cs="Arial"/>
          <w:b/>
          <w:color w:val="000000"/>
        </w:rPr>
      </w:pPr>
      <w:r>
        <w:rPr>
          <w:rFonts w:cs="Arial" w:ascii="Arial" w:hAnsi="Arial"/>
          <w:b/>
          <w:color w:val="000000"/>
        </w:rPr>
        <w:t xml:space="preserve">Liquidity Analysis/Financial Controls </w:t>
      </w:r>
      <w:r>
        <w:rPr>
          <w:rFonts w:cs="Arial" w:ascii="Arial" w:hAnsi="Arial"/>
          <w:color w:val="000000"/>
        </w:rPr>
        <w:t>(location)___________________</w:t>
      </w:r>
    </w:p>
    <w:p>
      <w:pPr>
        <w:pStyle w:val="Normal"/>
        <w:tabs>
          <w:tab w:val="clear" w:pos="720"/>
          <w:tab w:val="left" w:pos="360" w:leader="none"/>
          <w:tab w:val="right" w:pos="9360" w:leader="none"/>
        </w:tabs>
        <w:ind w:start="360" w:end="0"/>
        <w:jc w:val="both"/>
        <w:rPr/>
      </w:pPr>
      <w:r>
        <w:rPr>
          <w:rFonts w:cs="Arial" w:ascii="Arial" w:hAnsi="Arial"/>
          <w:color w:val="000000"/>
        </w:rPr>
        <w:t xml:space="preserve">Are the Liquidity Analysis and Financial Reporting functions independent from the commercial function? </w:t>
      </w:r>
      <w:r>
        <w:rPr>
          <w:rFonts w:cs="Arial" w:ascii="Arial" w:hAnsi="Arial"/>
          <w:b/>
          <w:color w:val="000000"/>
        </w:rPr>
        <w:t>Yes</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procedure for forecasting funding needs/cash levels? </w:t>
      </w:r>
      <w:r>
        <w:rPr>
          <w:rFonts w:cs="Arial" w:ascii="Arial" w:hAnsi="Arial"/>
          <w:b/>
          <w:color w:val="000000"/>
        </w:rPr>
        <w:t>See New York overview</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procedure for assessing liquidity of commercial positions? Prudency? </w:t>
      </w:r>
      <w:r>
        <w:rPr>
          <w:rFonts w:cs="Arial" w:ascii="Arial" w:hAnsi="Arial"/>
          <w:b/>
          <w:color w:val="000000"/>
        </w:rPr>
        <w:t>See RAC review</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Are analytical procedures performed to review 1) commercial assets/liabilities and 2) realised/unrealised commercial income/loss?</w:t>
      </w:r>
      <w:r>
        <w:rPr>
          <w:rFonts w:cs="Arial" w:ascii="Arial" w:hAnsi="Arial"/>
          <w:b/>
          <w:color w:val="000000"/>
        </w:rPr>
        <w:t xml:space="preserve"> See RAC review</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Is a reconciliation between G/L commercial accounts and cash account balances performed on a timely basis?</w:t>
      </w:r>
      <w:r>
        <w:rPr>
          <w:rFonts w:cs="Arial" w:ascii="Arial" w:hAnsi="Arial"/>
          <w:b/>
          <w:color w:val="000000"/>
        </w:rPr>
        <w:t xml:space="preserve"> See New York overview</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Is an operational analysis (flash vs. actual) performed on a timely basis? Who is on the distribution list? </w:t>
      </w:r>
      <w:r>
        <w:rPr>
          <w:rFonts w:cs="Arial" w:ascii="Arial" w:hAnsi="Arial"/>
          <w:b/>
          <w:color w:val="000000"/>
        </w:rPr>
        <w:t>N/A</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b/>
          <w:color w:val="000000"/>
          <w:u w:val="single"/>
        </w:rPr>
      </w:pPr>
      <w:r>
        <w:rPr>
          <w:rFonts w:cs="Arial" w:ascii="Arial" w:hAnsi="Arial"/>
          <w:b/>
          <w:color w:val="000000"/>
          <w:u w:val="single"/>
        </w:rPr>
      </w:r>
    </w:p>
    <w:p>
      <w:pPr>
        <w:pStyle w:val="Normal"/>
        <w:tabs>
          <w:tab w:val="clear" w:pos="720"/>
          <w:tab w:val="left" w:pos="360" w:leader="none"/>
          <w:tab w:val="right" w:pos="9360" w:leader="none"/>
        </w:tabs>
        <w:ind w:start="360" w:end="0"/>
        <w:jc w:val="both"/>
        <w:rPr/>
      </w:pPr>
      <w:r>
        <w:rPr>
          <w:rFonts w:cs="Arial" w:ascii="Arial" w:hAnsi="Arial"/>
          <w:b/>
          <w:color w:val="000000"/>
        </w:rPr>
        <w:t xml:space="preserve">Cash Management/Treasury </w:t>
      </w:r>
      <w:r>
        <w:rPr>
          <w:rFonts w:cs="Arial" w:ascii="Arial" w:hAnsi="Arial"/>
          <w:color w:val="000000"/>
        </w:rPr>
        <w:t>(location)</w:t>
      </w:r>
      <w:r>
        <w:rPr>
          <w:rFonts w:cs="Arial" w:ascii="Arial" w:hAnsi="Arial"/>
          <w:b/>
          <w:color w:val="000000"/>
        </w:rPr>
        <w:t xml:space="preserve"> New York &amp; London</w:t>
      </w:r>
      <w:r>
        <w:rPr>
          <w:rFonts w:cs="Arial" w:ascii="Arial" w:hAnsi="Arial"/>
          <w:color w:val="000000"/>
        </w:rPr>
        <w:t xml:space="preserve"> ______</w:t>
      </w:r>
      <w:r>
        <w:rPr>
          <w:rFonts w:cs="Arial" w:ascii="Arial" w:hAnsi="Arial"/>
          <w:b/>
          <w:color w:val="000000"/>
        </w:rPr>
        <w:t>__________________</w:t>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co-ordination with Corporate Treasury (funding needs)? </w:t>
      </w:r>
      <w:r>
        <w:rPr>
          <w:rFonts w:cs="Arial" w:ascii="Arial" w:hAnsi="Arial"/>
          <w:b/>
          <w:color w:val="000000"/>
        </w:rPr>
        <w:t>Secondary: See New York overview. Agency: See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Are local credit lines and bank accounts established to allow for inadequate levels of cash or funding needs?</w:t>
      </w:r>
      <w:r>
        <w:rPr>
          <w:rFonts w:cs="Arial" w:ascii="Arial" w:hAnsi="Arial"/>
          <w:b/>
          <w:color w:val="000000"/>
        </w:rPr>
        <w:t xml:space="preserve"> Secondary: See New York overview. Agency: See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What are the controls over authorised signatories on bank and brokerage accounts?</w:t>
      </w:r>
      <w:r>
        <w:rPr>
          <w:rFonts w:cs="Arial" w:ascii="Arial" w:hAnsi="Arial"/>
          <w:b/>
          <w:color w:val="000000"/>
        </w:rPr>
        <w:t xml:space="preserve"> Secondary: See New York overview. Agency: See London </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rPr>
      </w:pPr>
      <w:r>
        <w:rPr>
          <w:rFonts w:cs="Arial" w:ascii="Arial" w:hAnsi="Arial"/>
          <w:color w:val="000000"/>
        </w:rPr>
        <w:t>What is the ability to process payments?  Local or centralised through London/Houston?</w:t>
      </w:r>
    </w:p>
    <w:p>
      <w:pPr>
        <w:pStyle w:val="Normal"/>
        <w:tabs>
          <w:tab w:val="clear" w:pos="720"/>
          <w:tab w:val="left" w:pos="360" w:leader="none"/>
          <w:tab w:val="right" w:pos="9360" w:leader="none"/>
        </w:tabs>
        <w:ind w:start="360" w:end="0"/>
        <w:jc w:val="both"/>
        <w:rPr/>
      </w:pPr>
      <w:r>
        <w:rPr>
          <w:rFonts w:cs="Arial" w:ascii="Arial" w:hAnsi="Arial"/>
          <w:b/>
          <w:color w:val="000000"/>
        </w:rPr>
        <w:t>Secondary: See New York overview for main cash payments. Petty cash on site in Chicago. Agency: See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Who can authorise payments?  Funds transfers?</w:t>
      </w:r>
      <w:r>
        <w:rPr>
          <w:rFonts w:cs="Arial" w:ascii="Arial" w:hAnsi="Arial"/>
          <w:b/>
          <w:color w:val="000000"/>
        </w:rPr>
        <w:t xml:space="preserve"> See New York overview. Local authorisation of invoices subject to New York limits for secondary Business.  </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bank accounts established independent of commercial personnel? </w:t>
      </w:r>
      <w:r>
        <w:rPr>
          <w:rFonts w:cs="Arial" w:ascii="Arial" w:hAnsi="Arial"/>
          <w:b/>
          <w:color w:val="000000"/>
        </w:rPr>
        <w:t>Yes, in New York, London</w:t>
      </w:r>
      <w:r>
        <w:rPr>
          <w:rFonts w:cs="Arial" w:ascii="Arial" w:hAnsi="Arial"/>
          <w:color w:val="000000"/>
        </w:rPr>
        <w:t>.</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Are adequate controls in place over access to cash (margin accounts with brokers)?</w:t>
      </w:r>
      <w:r>
        <w:rPr>
          <w:rFonts w:cs="Arial" w:ascii="Arial" w:hAnsi="Arial"/>
          <w:b/>
          <w:color w:val="000000"/>
        </w:rPr>
        <w:t xml:space="preserve"> Secondary: See New York overview. Agency: See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invoicing, collecting and recording of purchase, sale and transport transactions performed independent of each other and the commercial function? </w:t>
      </w:r>
      <w:r>
        <w:rPr>
          <w:rFonts w:cs="Arial" w:ascii="Arial" w:hAnsi="Arial"/>
          <w:b/>
          <w:color w:val="000000"/>
        </w:rPr>
        <w:t>Secondary:</w:t>
      </w:r>
      <w:r>
        <w:rPr>
          <w:rFonts w:cs="Arial" w:ascii="Arial" w:hAnsi="Arial"/>
          <w:color w:val="000000"/>
        </w:rPr>
        <w:t xml:space="preserve"> </w:t>
      </w:r>
      <w:r>
        <w:rPr>
          <w:rFonts w:cs="Arial" w:ascii="Arial" w:hAnsi="Arial"/>
          <w:b/>
          <w:color w:val="000000"/>
        </w:rPr>
        <w:t>Not completely. Traffic function in Chicago.  Agency:See New York review.</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p>
    <w:p>
      <w:pPr>
        <w:pStyle w:val="Heading1"/>
        <w:ind w:hanging="0" w:start="0"/>
        <w:rPr>
          <w:rFonts w:ascii="Arial" w:hAnsi="Arial" w:cs="Arial"/>
        </w:rPr>
      </w:pPr>
      <w:r>
        <w:rPr>
          <w:rFonts w:cs="Arial" w:ascii="Arial" w:hAnsi="Arial"/>
          <w:highlight w:val="lightGray"/>
        </w:rPr>
        <w:t>Systems</w:t>
      </w:r>
    </w:p>
    <w:p>
      <w:pPr>
        <w:pStyle w:val="Normal"/>
        <w:tabs>
          <w:tab w:val="clear" w:pos="720"/>
          <w:tab w:val="left" w:pos="360" w:leader="none"/>
          <w:tab w:val="right" w:pos="9360" w:leader="none"/>
        </w:tabs>
        <w:ind w:start="360" w:end="0"/>
        <w:jc w:val="both"/>
        <w:rPr/>
      </w:pPr>
      <w:r>
        <w:rPr>
          <w:rFonts w:cs="Arial" w:ascii="Arial" w:hAnsi="Arial"/>
          <w:color w:val="000000"/>
        </w:rPr>
        <w:t xml:space="preserve">What are the primary systems used to capture transactional data (commodity) and financial records? Secondary: </w:t>
      </w:r>
      <w:r>
        <w:rPr>
          <w:rFonts w:cs="Arial" w:ascii="Arial" w:hAnsi="Arial"/>
          <w:b/>
          <w:color w:val="000000"/>
        </w:rPr>
        <w:t>Access &amp; WANG systems. Agency: AS400 in London.</w:t>
      </w: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use of previously established systems/databases such as Global Credit, Global Counterparty, TAGG, Unify/ or other, etc.? </w:t>
      </w:r>
      <w:r>
        <w:rPr>
          <w:rFonts w:cs="Arial" w:ascii="Arial" w:hAnsi="Arial"/>
          <w:b/>
          <w:color w:val="000000"/>
        </w:rPr>
        <w:t>N/A</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What is the use of spreadsheet-based applications? Do these spreadsheet-based applications interface with DB's for reporting purposes? </w:t>
      </w:r>
      <w:r>
        <w:rPr>
          <w:rFonts w:cs="Arial" w:ascii="Arial" w:hAnsi="Arial"/>
          <w:b/>
          <w:color w:val="000000"/>
        </w:rPr>
        <w:t>Spreadsheets are used extensively throughout the business for logistics, cash management and reporting</w:t>
      </w:r>
      <w:r>
        <w:rPr>
          <w:rFonts w:cs="Arial" w:ascii="Arial" w:hAnsi="Arial"/>
          <w:color w:val="000000"/>
        </w:rPr>
        <w:t>.</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Is on-site IT support available? </w:t>
      </w:r>
      <w:r>
        <w:rPr>
          <w:rFonts w:cs="Arial" w:ascii="Arial" w:hAnsi="Arial"/>
          <w:b/>
          <w:color w:val="000000"/>
        </w:rPr>
        <w:t>Supported from New York.</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logical security access controls in place? </w:t>
      </w:r>
      <w:r>
        <w:rPr>
          <w:rFonts w:cs="Arial" w:ascii="Arial" w:hAnsi="Arial"/>
          <w:b/>
          <w:color w:val="000000"/>
        </w:rPr>
        <w:t>Yes</w:t>
      </w:r>
      <w:r>
        <w:rPr>
          <w:rFonts w:cs="Arial" w:ascii="Arial" w:hAnsi="Arial"/>
          <w:color w:val="000000"/>
        </w:rPr>
        <w:t>.</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Are program change and integrity controls in place? </w:t>
      </w:r>
      <w:r>
        <w:rPr>
          <w:rFonts w:cs="Arial" w:ascii="Arial" w:hAnsi="Arial"/>
          <w:b/>
          <w:color w:val="000000"/>
        </w:rPr>
        <w:t>Secondary: Access system locally developed and updated therefore no control. Development of WANG and AS400 (for Agency) independent from office.</w:t>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Is information security administration, development and maintenance performed independent of commercial personnel? </w:t>
      </w:r>
      <w:r>
        <w:rPr>
          <w:rFonts w:cs="Arial" w:ascii="Arial" w:hAnsi="Arial"/>
          <w:b/>
          <w:color w:val="000000"/>
        </w:rPr>
        <w:t>Yes</w:t>
      </w:r>
      <w:r>
        <w:rPr>
          <w:rFonts w:cs="Arial" w:ascii="Arial" w:hAnsi="Arial"/>
          <w:color w:val="000000"/>
        </w:rPr>
        <w:t>.</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pPr>
      <w:r>
        <w:rPr>
          <w:rFonts w:cs="Arial" w:ascii="Arial" w:hAnsi="Arial"/>
          <w:color w:val="000000"/>
        </w:rPr>
        <w:t xml:space="preserve">Is there an established Disaster and Business Resumption plan? </w:t>
      </w:r>
      <w:r>
        <w:rPr>
          <w:rFonts w:cs="Arial" w:ascii="Arial" w:hAnsi="Arial"/>
          <w:b/>
          <w:color w:val="000000"/>
        </w:rPr>
        <w:t>No</w:t>
      </w:r>
      <w:r>
        <w:rPr>
          <w:rFonts w:cs="Arial" w:ascii="Arial" w:hAnsi="Arial"/>
          <w:color w:val="000000"/>
        </w:rPr>
        <w:t xml:space="preserve">. </w:t>
      </w:r>
      <w:r>
        <w:rPr>
          <w:rFonts w:cs="Arial" w:ascii="Arial" w:hAnsi="Arial"/>
          <w:b/>
          <w:color w:val="000000"/>
        </w:rPr>
        <w:t>Backups made of electronic files. Loss of paper files would be a problem.</w:t>
      </w: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tab/>
      </w:r>
    </w:p>
    <w:p>
      <w:pPr>
        <w:pStyle w:val="Normal"/>
        <w:tabs>
          <w:tab w:val="clear" w:pos="720"/>
          <w:tab w:val="left" w:pos="360" w:leader="none"/>
          <w:tab w:val="right" w:pos="9360" w:leader="none"/>
        </w:tabs>
        <w:ind w:start="360" w:end="0"/>
        <w:jc w:val="both"/>
        <w:rPr>
          <w:rFonts w:ascii="Arial" w:hAnsi="Arial" w:cs="Arial"/>
          <w:color w:val="000000"/>
          <w:u w:val="single"/>
        </w:rPr>
      </w:pPr>
      <w:r>
        <w:rPr>
          <w:rFonts w:cs="Arial" w:ascii="Arial" w:hAnsi="Arial"/>
          <w:color w:val="000000"/>
          <w:u w:val="single"/>
        </w:rPr>
      </w:r>
      <w:r>
        <w:br w:type="page"/>
      </w:r>
    </w:p>
    <w:p>
      <w:pPr>
        <w:pStyle w:val="Normal"/>
        <w:jc w:val="both"/>
        <w:rPr>
          <w:rFonts w:ascii="Arial" w:hAnsi="Arial" w:cs="Arial"/>
          <w:b/>
          <w:sz w:val="22"/>
        </w:rPr>
      </w:pPr>
      <w:r>
        <w:rPr>
          <w:rFonts w:cs="Arial" w:ascii="Arial" w:hAnsi="Arial"/>
          <w:b/>
          <w:sz w:val="22"/>
        </w:rPr>
        <w:t>Appendix 3 – Contract Note – Excel Generated with pull down options</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395" w:dyaOrig="9555">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position:absolute;margin-left:0pt;margin-top:0pt;width:369.75pt;height:477.75pt;mso-wrap-distance-left:9.05pt;mso-wrap-distance-right:9.05pt;mso-position-horizontal-relative:text;mso-position-vertical-relative:text" filled="f" o:ole="">
            <v:imagedata r:id="rId7" o:title=""/>
            <w10:wrap type="topAndBottom"/>
          </v:shape>
          <o:OLEObject Type="Embed" ProgID="" ShapeID="ole_rId6" DrawAspect="Content" ObjectID="_1912573073" r:id="rId6"/>
        </w:object>
      </w:r>
      <w:r>
        <w:br w:type="page"/>
      </w:r>
    </w:p>
    <w:p>
      <w:pPr>
        <w:pStyle w:val="Normal"/>
        <w:jc w:val="both"/>
        <w:rPr>
          <w:rFonts w:ascii="Arial" w:hAnsi="Arial" w:cs="Arial"/>
          <w:b/>
          <w:sz w:val="22"/>
        </w:rPr>
      </w:pPr>
      <w:r>
        <w:rPr>
          <w:rFonts w:cs="Arial" w:ascii="Arial" w:hAnsi="Arial"/>
          <w:b/>
          <w:sz w:val="22"/>
        </w:rPr>
        <w:t>Appendix 4 – Purchase Contract Confirmation</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425" w:dyaOrig="9555">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position:absolute;margin-left:0pt;margin-top:0pt;width:371.25pt;height:477.75pt;mso-wrap-distance-left:9.05pt;mso-wrap-distance-right:9.05pt;mso-position-horizontal-relative:text;mso-position-vertical-relative:text" filled="f" o:ole="">
            <v:imagedata r:id="rId9" o:title=""/>
            <w10:wrap type="topAndBottom"/>
          </v:shape>
          <o:OLEObject Type="Embed" ProgID="" ShapeID="ole_rId8" DrawAspect="Content" ObjectID="_1808138857" r:id="rId8"/>
        </w:object>
      </w:r>
      <w:r>
        <w:br w:type="page"/>
      </w:r>
    </w:p>
    <w:p>
      <w:pPr>
        <w:pStyle w:val="Normal"/>
        <w:jc w:val="both"/>
        <w:rPr>
          <w:rFonts w:ascii="Arial" w:hAnsi="Arial" w:cs="Arial"/>
          <w:b/>
          <w:sz w:val="22"/>
        </w:rPr>
      </w:pPr>
      <w:r>
        <w:rPr>
          <w:rFonts w:cs="Arial" w:ascii="Arial" w:hAnsi="Arial"/>
          <w:b/>
          <w:sz w:val="22"/>
        </w:rPr>
        <w:t>Appendix 5 – Invoice Adjustment Note</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425" w:dyaOrig="957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position:absolute;margin-left:0pt;margin-top:0pt;width:371.25pt;height:478.5pt;mso-wrap-distance-left:9.05pt;mso-wrap-distance-right:9.05pt;mso-position-horizontal-relative:text;mso-position-vertical-relative:text" filled="f" o:ole="">
            <v:imagedata r:id="rId11" o:title=""/>
            <w10:wrap type="topAndBottom"/>
          </v:shape>
          <o:OLEObject Type="Embed" ProgID="" ShapeID="ole_rId10" DrawAspect="Content" ObjectID="_220211896" r:id="rId10"/>
        </w:object>
      </w:r>
      <w:r>
        <w:br w:type="page"/>
      </w:r>
    </w:p>
    <w:p>
      <w:pPr>
        <w:pStyle w:val="Normal"/>
        <w:jc w:val="both"/>
        <w:rPr>
          <w:rFonts w:ascii="Arial" w:hAnsi="Arial" w:cs="Arial"/>
          <w:b/>
          <w:sz w:val="22"/>
        </w:rPr>
      </w:pPr>
      <w:r>
        <w:rPr>
          <w:rFonts w:cs="Arial" w:ascii="Arial" w:hAnsi="Arial"/>
          <w:b/>
          <w:sz w:val="22"/>
        </w:rPr>
        <w:t>Appendix 6 – Traffic Control Sheet</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425" w:dyaOrig="957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position:absolute;margin-left:0pt;margin-top:0pt;width:371.25pt;height:478.5pt;mso-wrap-distance-left:9.05pt;mso-wrap-distance-right:9.05pt;mso-position-horizontal-relative:text;mso-position-vertical-relative:text" filled="f" o:ole="">
            <v:imagedata r:id="rId13" o:title=""/>
            <w10:wrap type="topAndBottom"/>
          </v:shape>
          <o:OLEObject Type="Embed" ProgID="" ShapeID="ole_rId12" DrawAspect="Content" ObjectID="_610046469" r:id="rId12"/>
        </w:object>
      </w:r>
      <w:r>
        <w:br w:type="page"/>
      </w:r>
    </w:p>
    <w:p>
      <w:pPr>
        <w:pStyle w:val="Normal"/>
        <w:jc w:val="both"/>
        <w:rPr>
          <w:rFonts w:ascii="Arial" w:hAnsi="Arial" w:cs="Arial"/>
          <w:b/>
          <w:sz w:val="22"/>
        </w:rPr>
      </w:pPr>
      <w:r>
        <w:rPr>
          <w:rFonts w:cs="Arial" w:ascii="Arial" w:hAnsi="Arial"/>
          <w:b/>
          <w:sz w:val="22"/>
        </w:rPr>
        <w:t>Appendix 7 – Invoice</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425" w:dyaOrig="9555">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position:absolute;margin-left:0pt;margin-top:0pt;width:371.25pt;height:477.75pt;mso-wrap-distance-left:9.05pt;mso-wrap-distance-right:9.05pt;mso-position-horizontal-relative:text;mso-position-vertical-relative:text" filled="f" o:ole="">
            <v:imagedata r:id="rId15" o:title=""/>
            <w10:wrap type="topAndBottom"/>
          </v:shape>
          <o:OLEObject Type="Embed" ProgID="" ShapeID="ole_rId14" DrawAspect="Content" ObjectID="_1621820694" r:id="rId14"/>
        </w:object>
      </w:r>
      <w:r>
        <w:br w:type="page"/>
      </w:r>
    </w:p>
    <w:p>
      <w:pPr>
        <w:pStyle w:val="Normal"/>
        <w:jc w:val="both"/>
        <w:rPr>
          <w:rFonts w:ascii="Arial" w:hAnsi="Arial" w:cs="Arial"/>
          <w:b/>
          <w:sz w:val="22"/>
        </w:rPr>
      </w:pPr>
      <w:r>
        <w:rPr>
          <w:rFonts w:cs="Arial" w:ascii="Arial" w:hAnsi="Arial"/>
          <w:b/>
          <w:sz w:val="22"/>
        </w:rPr>
        <w:t>Appendix 8 – Detail Position Summary</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395" w:dyaOrig="954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position:absolute;margin-left:0pt;margin-top:0pt;width:369.75pt;height:477pt;mso-wrap-distance-left:9.05pt;mso-wrap-distance-right:9.05pt;mso-position-horizontal-relative:text;mso-position-vertical-relative:text" filled="f" o:ole="">
            <v:imagedata r:id="rId17" o:title=""/>
            <w10:wrap type="topAndBottom"/>
          </v:shape>
          <o:OLEObject Type="Embed" ProgID="" ShapeID="ole_rId16" DrawAspect="Content" ObjectID="_1604340522" r:id="rId16"/>
        </w:object>
      </w:r>
      <w:r>
        <w:br w:type="page"/>
      </w:r>
    </w:p>
    <w:p>
      <w:pPr>
        <w:pStyle w:val="Normal"/>
        <w:jc w:val="both"/>
        <w:rPr>
          <w:rFonts w:ascii="Arial" w:hAnsi="Arial" w:cs="Arial"/>
          <w:b/>
          <w:sz w:val="22"/>
        </w:rPr>
      </w:pPr>
      <w:r>
        <w:rPr>
          <w:rFonts w:cs="Arial" w:ascii="Arial" w:hAnsi="Arial"/>
          <w:b/>
          <w:sz w:val="22"/>
        </w:rPr>
        <w:t>Appendix 9 – Credit Application form</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425" w:dyaOrig="9555">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position:absolute;margin-left:0pt;margin-top:0pt;width:371.25pt;height:477.75pt;mso-wrap-distance-left:9.05pt;mso-wrap-distance-right:9.05pt;mso-position-horizontal-relative:text;mso-position-vertical-relative:text" filled="f" o:ole="">
            <v:imagedata r:id="rId19" o:title=""/>
            <w10:wrap type="topAndBottom"/>
          </v:shape>
          <o:OLEObject Type="Embed" ProgID="" ShapeID="ole_rId18" DrawAspect="Content" ObjectID="_1124630346" r:id="rId18"/>
        </w:object>
      </w:r>
      <w:r>
        <w:br w:type="page"/>
      </w:r>
    </w:p>
    <w:p>
      <w:pPr>
        <w:pStyle w:val="Normal"/>
        <w:jc w:val="both"/>
        <w:rPr>
          <w:rFonts w:ascii="Arial" w:hAnsi="Arial" w:cs="Arial"/>
          <w:b/>
          <w:sz w:val="22"/>
        </w:rPr>
      </w:pPr>
      <w:r>
        <w:rPr>
          <w:rFonts w:cs="Arial" w:ascii="Arial" w:hAnsi="Arial"/>
          <w:b/>
          <w:sz w:val="22"/>
        </w:rPr>
        <w:t>Appendix 10 – Scrap Position Summary</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425" w:dyaOrig="9555">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position:absolute;margin-left:-7.65pt;margin-top:-12.95pt;width:371.25pt;height:477.75pt;mso-wrap-distance-left:9.05pt;mso-wrap-distance-right:9.05pt;mso-position-horizontal-relative:text;mso-position-vertical-relative:text" filled="f" o:ole="">
            <v:imagedata r:id="rId21" o:title=""/>
            <w10:wrap type="topAndBottom"/>
          </v:shape>
          <o:OLEObject Type="Embed" ProgID="" ShapeID="ole_rId20" DrawAspect="Content" ObjectID="_157402738" r:id="rId20"/>
        </w:object>
      </w:r>
    </w:p>
    <w:p>
      <w:pPr>
        <w:pStyle w:val="Normal"/>
        <w:jc w:val="both"/>
        <w:rPr>
          <w:rFonts w:ascii="Arial" w:hAnsi="Arial" w:cs="Arial"/>
          <w:b/>
          <w:sz w:val="22"/>
        </w:rPr>
      </w:pPr>
      <w:r>
        <w:rPr>
          <w:rFonts w:cs="Arial" w:ascii="Arial" w:hAnsi="Arial"/>
          <w:b/>
          <w:sz w:val="22"/>
        </w:rPr>
      </w:r>
      <w:r>
        <w:br w:type="page"/>
      </w:r>
    </w:p>
    <w:p>
      <w:pPr>
        <w:pStyle w:val="Normal"/>
        <w:jc w:val="both"/>
        <w:rPr>
          <w:rFonts w:ascii="Arial" w:hAnsi="Arial" w:cs="Arial"/>
          <w:b/>
          <w:sz w:val="22"/>
        </w:rPr>
      </w:pPr>
      <w:r>
        <w:rPr>
          <w:rFonts w:cs="Arial" w:ascii="Arial" w:hAnsi="Arial"/>
          <w:b/>
          <w:sz w:val="22"/>
        </w:rPr>
        <w:t>Appendix 11 – Daily Position Report</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425" w:dyaOrig="9555">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position:absolute;margin-left:0pt;margin-top:0pt;width:371.25pt;height:477.75pt;mso-wrap-distance-left:9.05pt;mso-wrap-distance-right:9.05pt;mso-position-horizontal-relative:text;mso-position-vertical-relative:text" filled="f" o:ole="">
            <v:imagedata r:id="rId23" o:title=""/>
            <w10:wrap type="topAndBottom"/>
          </v:shape>
          <o:OLEObject Type="Embed" ProgID="" ShapeID="ole_rId22" DrawAspect="Content" ObjectID="_56754825" r:id="rId22"/>
        </w:object>
      </w:r>
      <w:r>
        <w:br w:type="page"/>
      </w:r>
    </w:p>
    <w:p>
      <w:pPr>
        <w:pStyle w:val="Normal"/>
        <w:jc w:val="both"/>
        <w:rPr>
          <w:rFonts w:ascii="Arial" w:hAnsi="Arial" w:cs="Arial"/>
          <w:b/>
          <w:sz w:val="22"/>
        </w:rPr>
      </w:pPr>
      <w:r>
        <w:rPr>
          <w:rFonts w:cs="Arial" w:ascii="Arial" w:hAnsi="Arial"/>
          <w:b/>
          <w:sz w:val="22"/>
        </w:rPr>
        <w:t>Appendix 12 – WANG Inventory Report</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395" w:dyaOrig="957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position:absolute;margin-left:0pt;margin-top:0pt;width:369.75pt;height:478.5pt;mso-wrap-distance-left:9.05pt;mso-wrap-distance-right:9.05pt;mso-position-horizontal-relative:text;mso-position-vertical-relative:text" filled="f" o:ole="">
            <v:imagedata r:id="rId25" o:title=""/>
            <w10:wrap type="topAndBottom"/>
          </v:shape>
          <o:OLEObject Type="Embed" ProgID="" ShapeID="ole_rId24" DrawAspect="Content" ObjectID="_463287792" r:id="rId24"/>
        </w:object>
      </w:r>
      <w:r>
        <w:br w:type="page"/>
      </w:r>
    </w:p>
    <w:p>
      <w:pPr>
        <w:pStyle w:val="Normal"/>
        <w:jc w:val="both"/>
        <w:rPr>
          <w:rFonts w:ascii="Arial" w:hAnsi="Arial" w:cs="Arial"/>
          <w:b/>
          <w:sz w:val="22"/>
        </w:rPr>
      </w:pPr>
      <w:r>
        <w:rPr>
          <w:rFonts w:cs="Arial" w:ascii="Arial" w:hAnsi="Arial"/>
          <w:b/>
          <w:sz w:val="22"/>
        </w:rPr>
        <w:t>Appendix 13 – Conversion Report</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395" w:dyaOrig="9555">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position:absolute;margin-left:0pt;margin-top:0pt;width:369.75pt;height:477.75pt;mso-wrap-distance-left:9.05pt;mso-wrap-distance-right:9.05pt;mso-position-horizontal-relative:text;mso-position-vertical-relative:text" filled="f" o:ole="">
            <v:imagedata r:id="rId27" o:title=""/>
            <w10:wrap type="topAndBottom"/>
          </v:shape>
          <o:OLEObject Type="Embed" ProgID="" ShapeID="ole_rId26" DrawAspect="Content" ObjectID="_1595802967" r:id="rId26"/>
        </w:object>
      </w:r>
      <w:r>
        <w:br w:type="page"/>
      </w:r>
    </w:p>
    <w:p>
      <w:pPr>
        <w:pStyle w:val="Normal"/>
        <w:jc w:val="both"/>
        <w:rPr>
          <w:rFonts w:ascii="Arial" w:hAnsi="Arial" w:cs="Arial"/>
          <w:b/>
          <w:sz w:val="22"/>
        </w:rPr>
      </w:pPr>
      <w:r>
        <w:rPr>
          <w:rFonts w:cs="Arial" w:ascii="Arial" w:hAnsi="Arial"/>
          <w:b/>
          <w:sz w:val="22"/>
        </w:rPr>
        <w:t>Appendix 14 – MTM Report</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425" w:dyaOrig="9555">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position:absolute;margin-left:0pt;margin-top:0pt;width:371.25pt;height:477.75pt;mso-wrap-distance-left:9.05pt;mso-wrap-distance-right:9.05pt;mso-position-horizontal-relative:text;mso-position-vertical-relative:text" filled="f" o:ole="">
            <v:imagedata r:id="rId29" o:title=""/>
            <w10:wrap type="topAndBottom"/>
          </v:shape>
          <o:OLEObject Type="Embed" ProgID="" ShapeID="ole_rId28" DrawAspect="Content" ObjectID="_2113323826" r:id="rId28"/>
        </w:objec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r>
      <w:r>
        <w:br w:type="page"/>
      </w:r>
    </w:p>
    <w:p>
      <w:pPr>
        <w:pStyle w:val="Normal"/>
        <w:jc w:val="both"/>
        <w:rPr>
          <w:rFonts w:ascii="Arial" w:hAnsi="Arial" w:cs="Arial"/>
          <w:b/>
          <w:sz w:val="22"/>
        </w:rPr>
      </w:pPr>
      <w:r>
        <w:rPr>
          <w:rFonts w:cs="Arial" w:ascii="Arial" w:hAnsi="Arial"/>
          <w:b/>
          <w:sz w:val="22"/>
        </w:rPr>
        <w:t>Appendix 15 – Unpriced Position Report</w:t>
      </w:r>
    </w:p>
    <w:p>
      <w:pPr>
        <w:pStyle w:val="Normal"/>
        <w:jc w:val="both"/>
        <w:rPr>
          <w:rFonts w:ascii="Arial" w:hAnsi="Arial" w:cs="Arial"/>
          <w:b/>
          <w:sz w:val="22"/>
        </w:rPr>
      </w:pPr>
      <w:r>
        <w:rPr>
          <w:rFonts w:cs="Arial" w:ascii="Arial" w:hAnsi="Arial"/>
          <w:b/>
          <w:sz w:val="22"/>
        </w:rPr>
      </w:r>
    </w:p>
    <w:p>
      <w:pPr>
        <w:pStyle w:val="Normal"/>
        <w:jc w:val="both"/>
        <w:rPr>
          <w:rFonts w:ascii="Arial" w:hAnsi="Arial" w:cs="Arial"/>
          <w:b/>
          <w:sz w:val="22"/>
        </w:rPr>
      </w:pPr>
      <w:r>
        <w:rPr>
          <w:rFonts w:cs="Arial" w:ascii="Arial" w:hAnsi="Arial"/>
          <w:b/>
          <w:sz w:val="22"/>
        </w:rPr>
        <w:object w:dxaOrig="7470" w:dyaOrig="9555">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position:absolute;margin-left:0pt;margin-top:0pt;width:373.5pt;height:477.75pt;mso-wrap-distance-left:9.05pt;mso-wrap-distance-right:9.05pt;mso-position-horizontal-relative:text;mso-position-vertical-relative:text" filled="f" o:ole="">
            <v:imagedata r:id="rId31" o:title=""/>
            <w10:wrap type="topAndBottom"/>
          </v:shape>
          <o:OLEObject Type="Embed" ProgID="" ShapeID="ole_rId30" DrawAspect="Content" ObjectID="_411147698" r:id="rId30"/>
        </w:object>
      </w:r>
    </w:p>
    <w:sectPr>
      <w:type w:val="nextPage"/>
      <w:pgSz w:w="11906" w:h="16838"/>
      <w:pgMar w:left="1800" w:right="180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Book Antiqua">
    <w:altName w:val="Times New Roman"/>
    <w:charset w:val="00" w:characterSet="windows-1252"/>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sz w:val="20"/>
      </w:rPr>
    </w:lvl>
  </w:abstractNum>
  <w:abstractNum w:abstractNumId="3">
    <w:lvl w:ilvl="0">
      <w:start w:val="1"/>
      <w:numFmt w:val="bullet"/>
      <w:lvlText w:val=""/>
      <w:lvlJc w:val="start"/>
      <w:pPr>
        <w:tabs>
          <w:tab w:val="num" w:pos="360"/>
        </w:tabs>
        <w:ind w:start="360" w:hanging="360"/>
      </w:pPr>
      <w:rPr>
        <w:rFonts w:ascii="Symbol" w:hAnsi="Symbol" w:cs="Symbol" w:hint="default"/>
        <w:sz w:val="20"/>
      </w:rPr>
    </w:lvl>
  </w:abstractNum>
  <w:abstractNum w:abstractNumId="4">
    <w:lvl w:ilvl="0">
      <w:start w:val="1"/>
      <w:numFmt w:val="bullet"/>
      <w:lvlText w:val=""/>
      <w:lvlJc w:val="start"/>
      <w:pPr>
        <w:tabs>
          <w:tab w:val="num" w:pos="360"/>
        </w:tabs>
        <w:ind w:start="360" w:hanging="360"/>
      </w:pPr>
      <w:rPr>
        <w:rFonts w:ascii="Symbol" w:hAnsi="Symbol" w:cs="Symbol" w:hint="default"/>
        <w:sz w:val="20"/>
      </w:rPr>
    </w:lvl>
  </w:abstractNum>
  <w:abstractNum w:abstractNumId="5">
    <w:lvl w:ilvl="0">
      <w:start w:val="1"/>
      <w:numFmt w:val="bullet"/>
      <w:lvlText w:val=""/>
      <w:lvlJc w:val="start"/>
      <w:pPr>
        <w:tabs>
          <w:tab w:val="num" w:pos="360"/>
        </w:tabs>
        <w:ind w:start="360" w:hanging="360"/>
      </w:pPr>
      <w:rPr>
        <w:rFonts w:ascii="Symbol" w:hAnsi="Symbol" w:cs="Symbol" w:hint="default"/>
        <w:sz w:val="20"/>
      </w:rPr>
    </w:lvl>
  </w:abstractNum>
  <w:abstractNum w:abstractNumId="6">
    <w:lvl w:ilvl="0">
      <w:start w:val="1"/>
      <w:numFmt w:val="bullet"/>
      <w:lvlText w:val=""/>
      <w:lvlJc w:val="start"/>
      <w:pPr>
        <w:tabs>
          <w:tab w:val="num" w:pos="360"/>
        </w:tabs>
        <w:ind w:start="360" w:hanging="360"/>
      </w:pPr>
      <w:rPr>
        <w:rFonts w:ascii="Symbol" w:hAnsi="Symbol" w:cs="Symbol" w:hint="default"/>
        <w:sz w:val="20"/>
      </w:rPr>
    </w:lvl>
  </w:abstractNum>
  <w:abstractNum w:abstractNumId="7">
    <w:lvl w:ilvl="0">
      <w:start w:val="1"/>
      <w:numFmt w:val="bullet"/>
      <w:lvlText w:val=""/>
      <w:lvlJc w:val="start"/>
      <w:pPr>
        <w:tabs>
          <w:tab w:val="num" w:pos="360"/>
        </w:tabs>
        <w:ind w:start="360" w:hanging="360"/>
      </w:pPr>
      <w:rPr>
        <w:rFonts w:ascii="Symbol" w:hAnsi="Symbol" w:cs="Symbol" w:hint="default"/>
        <w:sz w:val="20"/>
      </w:rPr>
    </w:lvl>
  </w:abstractNum>
  <w:abstractNum w:abstractNumId="8">
    <w:lvl w:ilvl="0">
      <w:start w:val="1"/>
      <w:numFmt w:val="bullet"/>
      <w:lvlText w:val=""/>
      <w:lvlJc w:val="start"/>
      <w:pPr>
        <w:tabs>
          <w:tab w:val="num" w:pos="360"/>
        </w:tabs>
        <w:ind w:start="360" w:hanging="360"/>
      </w:pPr>
      <w:rPr>
        <w:rFonts w:ascii="Symbol" w:hAnsi="Symbol" w:cs="Symbol" w:hint="default"/>
        <w:sz w:val="20"/>
      </w:rPr>
    </w:lvl>
  </w:abstractNum>
  <w:abstractNum w:abstractNumId="9">
    <w:lvl w:ilvl="0">
      <w:start w:val="1"/>
      <w:numFmt w:val="bullet"/>
      <w:lvlText w:val=""/>
      <w:lvlJc w:val="start"/>
      <w:pPr>
        <w:tabs>
          <w:tab w:val="num" w:pos="360"/>
        </w:tabs>
        <w:ind w:start="360" w:hanging="360"/>
      </w:pPr>
      <w:rPr>
        <w:rFonts w:ascii="Symbol" w:hAnsi="Symbol" w:cs="Symbol" w:hint="default"/>
        <w:sz w:val="20"/>
      </w:rPr>
    </w:lvl>
  </w:abstractNum>
  <w:abstractNum w:abstractNumId="10">
    <w:lvl w:ilvl="0">
      <w:start w:val="1"/>
      <w:numFmt w:val="bullet"/>
      <w:lvlText w:val=""/>
      <w:lvlJc w:val="start"/>
      <w:pPr>
        <w:tabs>
          <w:tab w:val="num" w:pos="360"/>
        </w:tabs>
        <w:ind w:start="360" w:hanging="360"/>
      </w:pPr>
      <w:rPr>
        <w:rFonts w:ascii="Symbol" w:hAnsi="Symbol" w:cs="Symbol" w:hint="default"/>
        <w:sz w:val="20"/>
      </w:rPr>
    </w:lvl>
  </w:abstractNum>
  <w:abstractNum w:abstractNumId="11">
    <w:lvl w:ilvl="0">
      <w:start w:val="1"/>
      <w:numFmt w:val="bullet"/>
      <w:lvlText w:val=""/>
      <w:lvlJc w:val="start"/>
      <w:pPr>
        <w:tabs>
          <w:tab w:val="num" w:pos="360"/>
        </w:tabs>
        <w:ind w:start="360" w:hanging="360"/>
      </w:pPr>
      <w:rPr>
        <w:rFonts w:ascii="Symbol" w:hAnsi="Symbol" w:cs="Symbol" w:hint="default"/>
        <w:sz w:val="20"/>
      </w:rPr>
    </w:lvl>
  </w:abstractNum>
  <w:abstractNum w:abstractNumId="12">
    <w:lvl w:ilvl="0">
      <w:start w:val="1"/>
      <w:numFmt w:val="bullet"/>
      <w:lvlText w:val=""/>
      <w:lvlJc w:val="start"/>
      <w:pPr>
        <w:tabs>
          <w:tab w:val="num" w:pos="360"/>
        </w:tabs>
        <w:ind w:start="360" w:hanging="360"/>
      </w:pPr>
      <w:rPr>
        <w:rFonts w:ascii="Symbol" w:hAnsi="Symbol" w:cs="Symbol" w:hint="default"/>
        <w:sz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20"/>
  <w:autoHyphenation w:val="true"/>
  <w:hyphenationZone w:val="0"/>
  <w:compat>
    <w:doNotExpandShiftReturn/>
    <w:usePrinterMetric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en-GB" w:eastAsia="zh-CN" w:bidi="hi-IN"/>
    </w:rPr>
  </w:style>
  <w:style w:type="paragraph" w:styleId="Heading1">
    <w:name w:val="heading 1"/>
    <w:basedOn w:val="Normal"/>
    <w:next w:val="Normal"/>
    <w:qFormat/>
    <w:pPr>
      <w:keepNext w:val="true"/>
      <w:numPr>
        <w:ilvl w:val="0"/>
        <w:numId w:val="1"/>
      </w:numPr>
      <w:jc w:val="both"/>
      <w:outlineLvl w:val="0"/>
    </w:pPr>
    <w:rPr>
      <w:b/>
    </w:rPr>
  </w:style>
  <w:style w:type="paragraph" w:styleId="Heading2">
    <w:name w:val="heading 2"/>
    <w:basedOn w:val="Normal"/>
    <w:next w:val="Normal"/>
    <w:qFormat/>
    <w:pPr>
      <w:keepNext w:val="true"/>
      <w:numPr>
        <w:ilvl w:val="1"/>
        <w:numId w:val="1"/>
      </w:numPr>
      <w:tabs>
        <w:tab w:val="clear" w:pos="720"/>
        <w:tab w:val="right" w:pos="9360" w:leader="none"/>
      </w:tabs>
      <w:outlineLvl w:val="1"/>
    </w:pPr>
    <w:rPr>
      <w:rFonts w:ascii="Book Antiqua;Times New Roman" w:hAnsi="Book Antiqua;Times New Roman" w:cs="Book Antiqua;Times New Roman"/>
      <w:b/>
      <w:sz w:val="22"/>
      <w:lang w:val="en-US"/>
    </w:rPr>
  </w:style>
  <w:style w:type="paragraph" w:styleId="Heading3">
    <w:name w:val="heading 3"/>
    <w:basedOn w:val="Normal"/>
    <w:next w:val="Normal"/>
    <w:qFormat/>
    <w:pPr>
      <w:keepNext w:val="true"/>
      <w:numPr>
        <w:ilvl w:val="2"/>
        <w:numId w:val="1"/>
      </w:numPr>
      <w:tabs>
        <w:tab w:val="clear" w:pos="720"/>
        <w:tab w:val="left" w:pos="360" w:leader="none"/>
        <w:tab w:val="right" w:pos="9360" w:leader="none"/>
      </w:tabs>
      <w:outlineLvl w:val="2"/>
    </w:pPr>
    <w:rPr>
      <w:b/>
      <w:color w:val="000000"/>
      <w:sz w:val="24"/>
    </w:rPr>
  </w:style>
  <w:style w:type="paragraph" w:styleId="Heading4">
    <w:name w:val="heading 4"/>
    <w:basedOn w:val="Normal"/>
    <w:next w:val="Normal"/>
    <w:qFormat/>
    <w:pPr>
      <w:keepNext w:val="true"/>
      <w:numPr>
        <w:ilvl w:val="3"/>
        <w:numId w:val="1"/>
      </w:numPr>
      <w:tabs>
        <w:tab w:val="clear" w:pos="720"/>
        <w:tab w:val="left" w:pos="360" w:leader="none"/>
        <w:tab w:val="right" w:pos="9360" w:leader="none"/>
      </w:tabs>
      <w:ind w:hanging="0" w:start="360" w:end="0"/>
      <w:jc w:val="both"/>
      <w:outlineLvl w:val="3"/>
    </w:pPr>
    <w:rPr>
      <w:b/>
      <w:color w:val="000000"/>
    </w:rPr>
  </w:style>
  <w:style w:type="paragraph" w:styleId="Heading5">
    <w:name w:val="heading 5"/>
    <w:basedOn w:val="Normal"/>
    <w:next w:val="Normal"/>
    <w:qFormat/>
    <w:pPr>
      <w:keepNext w:val="true"/>
      <w:numPr>
        <w:ilvl w:val="4"/>
        <w:numId w:val="1"/>
      </w:numPr>
      <w:jc w:val="both"/>
      <w:outlineLvl w:val="4"/>
    </w:pPr>
    <w:rPr>
      <w:b/>
      <w:i/>
      <w:sz w:val="24"/>
    </w:rPr>
  </w:style>
  <w:style w:type="character" w:styleId="WW8Num3z0">
    <w:name w:val="WW8Num3z0"/>
    <w:qFormat/>
    <w:rPr>
      <w:rFonts w:ascii="Symbol" w:hAnsi="Symbol" w:cs="Symbol"/>
      <w:sz w:val="20"/>
    </w:rPr>
  </w:style>
  <w:style w:type="character" w:styleId="WW8Num4z0">
    <w:name w:val="WW8Num4z0"/>
    <w:qFormat/>
    <w:rPr>
      <w:rFonts w:ascii="Symbol" w:hAnsi="Symbol" w:cs="Symbol"/>
      <w:sz w:val="20"/>
    </w:rPr>
  </w:style>
  <w:style w:type="character" w:styleId="WW8Num5z0">
    <w:name w:val="WW8Num5z0"/>
    <w:qFormat/>
    <w:rPr>
      <w:rFonts w:ascii="Symbol" w:hAnsi="Symbol" w:cs="Symbol"/>
      <w:sz w:val="20"/>
    </w:rPr>
  </w:style>
  <w:style w:type="character" w:styleId="WW8Num6z0">
    <w:name w:val="WW8Num6z0"/>
    <w:qFormat/>
    <w:rPr>
      <w:rFonts w:ascii="Symbol" w:hAnsi="Symbol" w:cs="Symbol"/>
      <w:sz w:val="20"/>
    </w:rPr>
  </w:style>
  <w:style w:type="character" w:styleId="WW8Num7z0">
    <w:name w:val="WW8Num7z0"/>
    <w:qFormat/>
    <w:rPr>
      <w:rFonts w:ascii="Symbol" w:hAnsi="Symbol" w:cs="Symbol"/>
      <w:sz w:val="20"/>
    </w:rPr>
  </w:style>
  <w:style w:type="character" w:styleId="WW8Num8z0">
    <w:name w:val="WW8Num8z0"/>
    <w:qFormat/>
    <w:rPr>
      <w:rFonts w:ascii="Symbol" w:hAnsi="Symbol" w:cs="Symbol"/>
      <w:sz w:val="20"/>
    </w:rPr>
  </w:style>
  <w:style w:type="character" w:styleId="WW8Num10z0">
    <w:name w:val="WW8Num10z0"/>
    <w:qFormat/>
    <w:rPr>
      <w:rFonts w:ascii="Symbol" w:hAnsi="Symbol" w:cs="Symbol"/>
      <w:sz w:val="20"/>
    </w:rPr>
  </w:style>
  <w:style w:type="character" w:styleId="WW8Num11z0">
    <w:name w:val="WW8Num11z0"/>
    <w:qFormat/>
    <w:rPr>
      <w:rFonts w:ascii="Symbol" w:hAnsi="Symbol" w:cs="Symbol"/>
      <w:sz w:val="20"/>
    </w:rPr>
  </w:style>
  <w:style w:type="character" w:styleId="WW8Num12z0">
    <w:name w:val="WW8Num12z0"/>
    <w:qFormat/>
    <w:rPr>
      <w:rFonts w:ascii="Symbol" w:hAnsi="Symbol" w:cs="Symbol"/>
      <w:sz w:val="20"/>
    </w:rPr>
  </w:style>
  <w:style w:type="character" w:styleId="WW8Num13z0">
    <w:name w:val="WW8Num13z0"/>
    <w:qFormat/>
    <w:rPr>
      <w:rFonts w:ascii="Symbol" w:hAnsi="Symbol" w:cs="Symbol"/>
      <w:sz w:val="20"/>
    </w:rPr>
  </w:style>
  <w:style w:type="character" w:styleId="WW8Num14z0">
    <w:name w:val="WW8Num14z0"/>
    <w:qFormat/>
    <w:rPr>
      <w:rFonts w:ascii="Symbol" w:hAnsi="Symbol" w:cs="Symbol"/>
      <w:sz w:val="20"/>
    </w:rPr>
  </w:style>
  <w:style w:type="character" w:styleId="WW8NumSt1z0">
    <w:name w:val="WW8NumSt1z0"/>
    <w:qFormat/>
    <w:rPr>
      <w:rFonts w:ascii="Symbol" w:hAnsi="Symbol" w:cs="Symbol"/>
    </w:rPr>
  </w:style>
  <w:style w:type="character" w:styleId="DefaultParagraphFont">
    <w:name w:val="Default Paragraph Font"/>
    <w:qFormat/>
    <w:rPr/>
  </w:style>
  <w:style w:type="paragraph" w:styleId="Heading">
    <w:name w:val="Heading"/>
    <w:basedOn w:val="Normal"/>
    <w:next w:val="BodyText"/>
    <w:qFormat/>
    <w:pPr>
      <w:jc w:val="center"/>
    </w:pPr>
    <w:rPr>
      <w:b/>
      <w:sz w:val="28"/>
      <w:u w:val="single"/>
    </w:rPr>
  </w:style>
  <w:style w:type="paragraph" w:styleId="BodyText">
    <w:name w:val="Body Text"/>
    <w:basedOn w:val="Normal"/>
    <w:pPr>
      <w:jc w:val="both"/>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BodyTextIndent">
    <w:name w:val="Body Text Indent"/>
    <w:basedOn w:val="Normal"/>
    <w:pPr>
      <w:tabs>
        <w:tab w:val="clear" w:pos="720"/>
        <w:tab w:val="left" w:pos="360" w:leader="none"/>
        <w:tab w:val="right" w:pos="9360" w:leader="none"/>
      </w:tabs>
      <w:ind w:hanging="0" w:start="360" w:end="0"/>
    </w:pPr>
    <w:rPr>
      <w:b/>
      <w:color w:val="000000"/>
    </w:rPr>
  </w:style>
  <w:style w:type="paragraph" w:styleId="BodyTextIndent2">
    <w:name w:val="Body Text Indent 2"/>
    <w:basedOn w:val="Normal"/>
    <w:qFormat/>
    <w:pPr>
      <w:tabs>
        <w:tab w:val="clear" w:pos="720"/>
        <w:tab w:val="left" w:pos="360" w:leader="none"/>
        <w:tab w:val="right" w:pos="9360" w:leader="none"/>
      </w:tabs>
      <w:ind w:hanging="0" w:start="360" w:end="0"/>
    </w:pPr>
    <w:rPr>
      <w:color w:val="000000"/>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xlsx"/><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2.wmf"/><Relationship Id="rId6" Type="http://schemas.openxmlformats.org/officeDocument/2006/relationships/oleObject" Target="embeddings/oleObject3.bin"/><Relationship Id="rId7" Type="http://schemas.openxmlformats.org/officeDocument/2006/relationships/image" Target="media/image3.wmf"/><Relationship Id="rId8" Type="http://schemas.openxmlformats.org/officeDocument/2006/relationships/oleObject" Target="embeddings/oleObject4.bin"/><Relationship Id="rId9" Type="http://schemas.openxmlformats.org/officeDocument/2006/relationships/image" Target="media/image4.wmf"/><Relationship Id="rId10" Type="http://schemas.openxmlformats.org/officeDocument/2006/relationships/oleObject" Target="embeddings/oleObject5.bin"/><Relationship Id="rId11" Type="http://schemas.openxmlformats.org/officeDocument/2006/relationships/image" Target="media/image5.wmf"/><Relationship Id="rId12" Type="http://schemas.openxmlformats.org/officeDocument/2006/relationships/oleObject" Target="embeddings/oleObject6.bin"/><Relationship Id="rId13" Type="http://schemas.openxmlformats.org/officeDocument/2006/relationships/image" Target="media/image6.wmf"/><Relationship Id="rId14" Type="http://schemas.openxmlformats.org/officeDocument/2006/relationships/oleObject" Target="embeddings/oleObject7.bin"/><Relationship Id="rId15" Type="http://schemas.openxmlformats.org/officeDocument/2006/relationships/image" Target="media/image7.wmf"/><Relationship Id="rId16" Type="http://schemas.openxmlformats.org/officeDocument/2006/relationships/oleObject" Target="embeddings/oleObject8.bin"/><Relationship Id="rId17" Type="http://schemas.openxmlformats.org/officeDocument/2006/relationships/image" Target="media/image8.wmf"/><Relationship Id="rId18" Type="http://schemas.openxmlformats.org/officeDocument/2006/relationships/oleObject" Target="embeddings/oleObject9.bin"/><Relationship Id="rId19" Type="http://schemas.openxmlformats.org/officeDocument/2006/relationships/image" Target="media/image9.wmf"/><Relationship Id="rId20" Type="http://schemas.openxmlformats.org/officeDocument/2006/relationships/oleObject" Target="embeddings/oleObject10.bin"/><Relationship Id="rId21" Type="http://schemas.openxmlformats.org/officeDocument/2006/relationships/image" Target="media/image10.wmf"/><Relationship Id="rId22" Type="http://schemas.openxmlformats.org/officeDocument/2006/relationships/oleObject" Target="embeddings/oleObject11.bin"/><Relationship Id="rId23" Type="http://schemas.openxmlformats.org/officeDocument/2006/relationships/image" Target="media/image11.wmf"/><Relationship Id="rId24" Type="http://schemas.openxmlformats.org/officeDocument/2006/relationships/oleObject" Target="embeddings/oleObject12.bin"/><Relationship Id="rId25" Type="http://schemas.openxmlformats.org/officeDocument/2006/relationships/image" Target="media/image12.wmf"/><Relationship Id="rId26" Type="http://schemas.openxmlformats.org/officeDocument/2006/relationships/oleObject" Target="embeddings/oleObject13.bin"/><Relationship Id="rId27" Type="http://schemas.openxmlformats.org/officeDocument/2006/relationships/image" Target="media/image13.wmf"/><Relationship Id="rId28" Type="http://schemas.openxmlformats.org/officeDocument/2006/relationships/oleObject" Target="embeddings/oleObject14.bin"/><Relationship Id="rId29" Type="http://schemas.openxmlformats.org/officeDocument/2006/relationships/image" Target="media/image14.wmf"/><Relationship Id="rId30" Type="http://schemas.openxmlformats.org/officeDocument/2006/relationships/oleObject" Target="embeddings/oleObject15.bin"/><Relationship Id="rId31" Type="http://schemas.openxmlformats.org/officeDocument/2006/relationships/image" Target="media/image15.wmf"/><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1</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2000-06-26T09:56:00Z</dcterms:created>
  <dc:creator>Andy Cornfield</dc:creator>
  <dc:description/>
  <dc:language>en-CA</dc:language>
  <cp:lastModifiedBy>ACornfie</cp:lastModifiedBy>
  <cp:lastPrinted>2000-06-22T19:17:00Z</cp:lastPrinted>
  <dcterms:modified xsi:type="dcterms:W3CDTF">2000-06-26T10:30:00Z</dcterms:modified>
  <cp:revision>3</cp:revision>
  <dc:subject/>
  <dc:title>MG US Operations</dc:title>
</cp:coreProperties>
</file>