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rPr>
      </w:pPr>
      <w:r>
        <w:rPr>
          <w:rFonts w:cs="Arial" w:ascii="Arial" w:hAnsi="Arial"/>
        </w:rPr>
        <w:t>MG NEW YORK SUPPORT ORGANISATION</w:t>
      </w:r>
    </w:p>
    <w:p>
      <w:pPr>
        <w:pStyle w:val="Normal"/>
        <w:ind w:start="45" w:end="0"/>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Organisation</w:t>
      </w:r>
    </w:p>
    <w:p>
      <w:pPr>
        <w:pStyle w:val="Normal"/>
        <w:jc w:val="both"/>
        <w:rPr>
          <w:rFonts w:ascii="Arial" w:hAnsi="Arial" w:cs="Arial"/>
        </w:rPr>
      </w:pPr>
      <w:r>
        <w:rPr>
          <w:rFonts w:cs="Arial" w:ascii="Arial" w:hAnsi="Arial"/>
        </w:rPr>
      </w:r>
    </w:p>
    <w:p>
      <w:pPr>
        <w:pStyle w:val="BodyText"/>
        <w:jc w:val="both"/>
        <w:rPr>
          <w:rFonts w:ascii="Arial" w:hAnsi="Arial" w:cs="Arial"/>
        </w:rPr>
      </w:pPr>
      <w:r>
        <w:rPr>
          <w:rFonts w:cs="Arial" w:ascii="Arial" w:hAnsi="Arial"/>
        </w:rPr>
        <w:t>Separate business notes include organisation charts for each business unit for trading through contract admin (includes setttlements).</w:t>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u w:val="single"/>
        </w:rPr>
        <w:t xml:space="preserve">IMPORTANT NOTE; </w:t>
      </w:r>
      <w:r>
        <w:rPr>
          <w:rFonts w:cs="Arial" w:ascii="Arial" w:hAnsi="Arial"/>
          <w:b/>
        </w:rPr>
        <w:t>MG Nth America</w:t>
      </w:r>
      <w:r>
        <w:rPr>
          <w:rFonts w:cs="Arial" w:ascii="Arial" w:hAnsi="Arial"/>
        </w:rPr>
        <w:t xml:space="preserve"> – forms part of the original MG group and is not part of MG PLC.  </w:t>
      </w:r>
      <w:r>
        <w:rPr>
          <w:rFonts w:cs="Arial" w:ascii="Arial" w:hAnsi="Arial"/>
          <w:b/>
        </w:rPr>
        <w:t>MG NY</w:t>
      </w:r>
      <w:r>
        <w:rPr>
          <w:rFonts w:cs="Arial" w:ascii="Arial" w:hAnsi="Arial"/>
        </w:rPr>
        <w:t xml:space="preserve"> – refers to any MG business included in the PLC group.</w:t>
      </w:r>
    </w:p>
    <w:p>
      <w:pPr>
        <w:pStyle w:val="Normal"/>
        <w:jc w:val="both"/>
        <w:rPr>
          <w:rFonts w:ascii="Arial" w:hAnsi="Arial" w:cs="Arial"/>
          <w:u w:val="single"/>
        </w:rPr>
      </w:pPr>
      <w:r>
        <w:rPr>
          <w:rFonts w:cs="Arial" w:ascii="Arial" w:hAnsi="Arial"/>
          <w:u w:val="single"/>
        </w:rPr>
      </w:r>
    </w:p>
    <w:p>
      <w:pPr>
        <w:pStyle w:val="Heading3"/>
        <w:ind w:hanging="0" w:start="0"/>
        <w:jc w:val="both"/>
        <w:rPr>
          <w:rFonts w:ascii="Arial" w:hAnsi="Arial" w:cs="Arial"/>
        </w:rPr>
      </w:pPr>
      <w:r>
        <w:rPr>
          <w:rFonts w:cs="Arial" w:ascii="Arial" w:hAnsi="Arial"/>
        </w:rPr>
        <w:t>SUPPORT ORGANISATION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They are all supported through NY by a centralised services group headed up by Marcelo Parra (see below).</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object w:dxaOrig="5750" w:dyaOrig="21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92.4pt;height:143.4pt" filled="f" o:ole="">
            <v:imagedata r:id="rId3" o:title=""/>
          </v:shape>
          <o:OLEObject Type="Embed" ProgID="" ShapeID="ole_rId2" DrawAspect="Content" ObjectID="_704884713" r:id="rId2"/>
        </w:objec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Also, please note;</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Helge Morel is a retired MG employee who works as a contractor part time on credit reporting directly to Marcello</w:t>
      </w:r>
    </w:p>
    <w:p>
      <w:pPr>
        <w:pStyle w:val="Normal"/>
        <w:numPr>
          <w:ilvl w:val="0"/>
          <w:numId w:val="10"/>
        </w:numPr>
        <w:jc w:val="both"/>
        <w:rPr>
          <w:rFonts w:ascii="Arial" w:hAnsi="Arial" w:cs="Arial"/>
        </w:rPr>
      </w:pPr>
      <w:r>
        <w:rPr>
          <w:rFonts w:cs="Arial" w:ascii="Arial" w:hAnsi="Arial"/>
        </w:rPr>
        <w:t>Tax &amp; Legal services provided by teams from MG Nth America based in same office.</w:t>
      </w:r>
    </w:p>
    <w:p>
      <w:pPr>
        <w:pStyle w:val="Normal"/>
        <w:numPr>
          <w:ilvl w:val="0"/>
          <w:numId w:val="10"/>
        </w:numPr>
        <w:jc w:val="both"/>
        <w:rPr>
          <w:rFonts w:ascii="Arial" w:hAnsi="Arial" w:cs="Arial"/>
        </w:rPr>
      </w:pPr>
      <w:r>
        <w:rPr>
          <w:rFonts w:cs="Arial" w:ascii="Arial" w:hAnsi="Arial"/>
        </w:rPr>
        <w:t>MG Nth America used to provide accounting for Henry Bath Inc – now passed onto local outsourcer and not controlled by MG 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General Controls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General Trading controls are largely informal and based on providing open communication channels – eg the Shipping Schedule for Concentrates is a lotus notes system and all correspondance with cps is via this – all people have access to those e-mails &amp; faxes.  Marcello monitors it on a daily basis &amp; normally sits in the trading area. He also monitors the DPRs on a daily basis.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On an overall level, there is a monthly meeting for the Merchanting business (Merchanting Board) held in London at which all key players attend.  Marcelo is one of the three main Financial managers along with David Tregar &amp; Howard Carter in attendance with the main business heads </w:t>
      </w:r>
      <w:r>
        <w:rPr>
          <w:rFonts w:cs="Arial" w:ascii="Arial" w:hAnsi="Arial"/>
          <w:b/>
        </w:rPr>
        <w:t xml:space="preserve">(NOTE –Richard Sage should start to attend these meetings).  </w:t>
      </w:r>
      <w:r>
        <w:rPr>
          <w:rFonts w:cs="Arial" w:ascii="Arial" w:hAnsi="Arial"/>
        </w:rPr>
        <w:t>Due to his banking &amp; structured Finance experience, Marcelo has overall group responsibility for Financial products, Funding, &amp; debt structuring.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Authorisation levels are based on cheque signatory.  There must be two signatures for any payment (internal regulation only for wires). There is a list of main authorisers (Marcelo Parra, Lou Colarrouso, Phil Bacon &amp; Jo Robertson) who must sign all cheques with one other person on the secondary list.  For payments over $3million, only two of the main authorisers may sign.  (See attached internal regulations).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Internal audit is to be performed by AA – no review has yet been undertaken.</w:t>
      </w:r>
    </w:p>
    <w:p>
      <w:pPr>
        <w:pStyle w:val="Normal"/>
        <w:jc w:val="both"/>
        <w:rPr>
          <w:rFonts w:ascii="Arial" w:hAnsi="Arial" w:cs="Arial"/>
          <w:b/>
          <w:i/>
          <w:i/>
        </w:rPr>
      </w:pPr>
      <w:r>
        <w:rPr>
          <w:rFonts w:cs="Arial" w:ascii="Arial" w:hAnsi="Arial"/>
          <w:b/>
          <w:i/>
        </w:rPr>
      </w:r>
    </w:p>
    <w:p>
      <w:pPr>
        <w:pStyle w:val="Heading2"/>
        <w:ind w:hanging="0" w:start="0"/>
        <w:jc w:val="both"/>
        <w:rPr>
          <w:rFonts w:ascii="Arial" w:hAnsi="Arial" w:cs="Arial"/>
        </w:rPr>
      </w:pPr>
      <w:r>
        <w:rPr>
          <w:rFonts w:cs="Arial" w:ascii="Arial" w:hAnsi="Arial"/>
        </w:rPr>
        <w:t>Systems</w:t>
      </w:r>
    </w:p>
    <w:p>
      <w:pPr>
        <w:pStyle w:val="Normal"/>
        <w:jc w:val="both"/>
        <w:rPr>
          <w:rFonts w:ascii="Arial" w:hAnsi="Arial" w:cs="Arial"/>
        </w:rPr>
      </w:pPr>
      <w:r>
        <w:rPr>
          <w:rFonts w:cs="Arial" w:ascii="Arial" w:hAnsi="Arial"/>
        </w:rPr>
        <w:t>(See attached systems summary)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main trading/logistics systems 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AS400 – Merchanting (Agency)</w:t>
      </w:r>
    </w:p>
    <w:p>
      <w:pPr>
        <w:pStyle w:val="Normal"/>
        <w:jc w:val="both"/>
        <w:rPr>
          <w:rFonts w:ascii="Arial" w:hAnsi="Arial" w:cs="Arial"/>
        </w:rPr>
      </w:pPr>
      <w:r>
        <w:rPr>
          <w:rFonts w:cs="Arial" w:ascii="Arial" w:hAnsi="Arial"/>
        </w:rPr>
        <w:t>WANG – Scrap Metal Trading (Proprietary)</w:t>
      </w:r>
    </w:p>
    <w:p>
      <w:pPr>
        <w:pStyle w:val="Normal"/>
        <w:jc w:val="both"/>
        <w:rPr>
          <w:rFonts w:ascii="Arial" w:hAnsi="Arial" w:cs="Arial"/>
        </w:rPr>
      </w:pPr>
      <w:r>
        <w:rPr>
          <w:rFonts w:cs="Arial" w:ascii="Arial" w:hAnsi="Arial"/>
        </w:rPr>
        <w:t>Rolfe &amp; Nolan –  Futures Clearing Services</w:t>
      </w:r>
    </w:p>
    <w:p>
      <w:pPr>
        <w:pStyle w:val="Normal"/>
        <w:jc w:val="both"/>
        <w:rPr>
          <w:rFonts w:ascii="Arial" w:hAnsi="Arial" w:cs="Arial"/>
        </w:rPr>
      </w:pPr>
      <w:r>
        <w:rPr>
          <w:rFonts w:cs="Arial" w:ascii="Arial" w:hAnsi="Arial"/>
        </w:rPr>
        <w:t>Lotus notes Shipping schedule – Concentrates (trade booking)</w:t>
      </w:r>
    </w:p>
    <w:p>
      <w:pPr>
        <w:pStyle w:val="Normal"/>
        <w:jc w:val="both"/>
        <w:rPr>
          <w:rFonts w:ascii="Arial" w:hAnsi="Arial" w:cs="Arial"/>
        </w:rPr>
      </w:pPr>
      <w:r>
        <w:rPr>
          <w:rFonts w:cs="Arial" w:ascii="Arial" w:hAnsi="Arial"/>
        </w:rPr>
        <w:t>Aquarius – Concentrates (contract management)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All of these feed into (or info is input into)  MG Nth America SAP system for accounting, except for AS400 which is the London accounting system.   </w:t>
      </w:r>
      <w:r>
        <w:rPr>
          <w:rFonts w:cs="Arial" w:ascii="Arial" w:hAnsi="Arial"/>
          <w:i/>
        </w:rPr>
        <w:t xml:space="preserve">NOTE  MG Nth America SAP should be considered completely different from Enron SAP. </w:t>
      </w:r>
    </w:p>
    <w:p>
      <w:pPr>
        <w:pStyle w:val="Normal"/>
        <w:jc w:val="both"/>
        <w:rPr>
          <w:rFonts w:ascii="Arial" w:hAnsi="Arial" w:cs="Arial"/>
          <w:i/>
          <w:i/>
        </w:rPr>
      </w:pPr>
      <w:r>
        <w:rPr>
          <w:rFonts w:cs="Arial" w:ascii="Arial" w:hAnsi="Arial"/>
          <w:i/>
        </w:rPr>
      </w:r>
    </w:p>
    <w:p>
      <w:pPr>
        <w:pStyle w:val="Normal"/>
        <w:jc w:val="both"/>
        <w:rPr>
          <w:rFonts w:ascii="Arial" w:hAnsi="Arial" w:cs="Arial"/>
        </w:rPr>
      </w:pPr>
      <w:r>
        <w:rPr>
          <w:rFonts w:cs="Arial" w:ascii="Arial" w:hAnsi="Arial"/>
          <w:i/>
        </w:rPr>
        <w:t>See below (Accounting – SAP organisation)</w:t>
      </w:r>
    </w:p>
    <w:p>
      <w:pPr>
        <w:pStyle w:val="Normal"/>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Risk Management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Loyd Flemming has reviewed this separately.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Accounting &amp; Reporting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summary of Front to Back processes for each business unit has been prepared by Lou Colarrouso (see attached)</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Reports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Accountants provide;</w:t>
      </w:r>
    </w:p>
    <w:p>
      <w:pPr>
        <w:pStyle w:val="Normal"/>
        <w:jc w:val="both"/>
        <w:rPr>
          <w:rFonts w:ascii="Arial" w:hAnsi="Arial" w:cs="Arial"/>
        </w:rPr>
      </w:pPr>
      <w:r>
        <w:rPr>
          <w:rFonts w:cs="Arial" w:ascii="Arial" w:hAnsi="Arial"/>
        </w:rPr>
        <w:t>DPR for concentrates – twice per week</w:t>
      </w:r>
    </w:p>
    <w:p>
      <w:pPr>
        <w:pStyle w:val="Normal"/>
        <w:jc w:val="both"/>
        <w:rPr>
          <w:rFonts w:ascii="Arial" w:hAnsi="Arial" w:cs="Arial"/>
        </w:rPr>
      </w:pPr>
      <w:r>
        <w:rPr>
          <w:rFonts w:cs="Arial" w:ascii="Arial" w:hAnsi="Arial"/>
        </w:rPr>
        <w:t>DPR for Futures - daily</w:t>
      </w:r>
    </w:p>
    <w:p>
      <w:pPr>
        <w:pStyle w:val="Normal"/>
        <w:jc w:val="both"/>
        <w:rPr>
          <w:rFonts w:ascii="Arial" w:hAnsi="Arial" w:cs="Arial"/>
        </w:rPr>
      </w:pPr>
      <w:r>
        <w:rPr>
          <w:rFonts w:cs="Arial" w:ascii="Arial" w:hAnsi="Arial"/>
        </w:rPr>
        <w:t>Monthly pack for London – Excel spreadsheets for consolidation (7 working days after end of month)</w:t>
      </w:r>
    </w:p>
    <w:p>
      <w:pPr>
        <w:pStyle w:val="Normal"/>
        <w:jc w:val="both"/>
        <w:rPr>
          <w:rFonts w:ascii="Arial" w:hAnsi="Arial" w:cs="Arial"/>
        </w:rPr>
      </w:pPr>
      <w:r>
        <w:rPr>
          <w:rFonts w:cs="Arial" w:ascii="Arial" w:hAnsi="Arial"/>
        </w:rPr>
        <w:t>Ad hoc enquiries</w:t>
      </w:r>
    </w:p>
    <w:p>
      <w:pPr>
        <w:pStyle w:val="Normal"/>
        <w:jc w:val="both"/>
        <w:rPr>
          <w:rFonts w:ascii="Arial" w:hAnsi="Arial" w:cs="Arial"/>
        </w:rPr>
      </w:pPr>
      <w:r>
        <w:rPr>
          <w:rFonts w:cs="Arial" w:ascii="Arial" w:hAnsi="Arial"/>
        </w:rPr>
        <w:t>Monthly management report for NY – full P&amp;L for each division, reconciliations, sensitivity analysis…..this is used by local management to understand their daily &amp; monthly positions &amp; exposures.</w:t>
      </w:r>
    </w:p>
    <w:p>
      <w:pPr>
        <w:pStyle w:val="Normal"/>
        <w:jc w:val="both"/>
        <w:rPr>
          <w:rFonts w:ascii="Arial" w:hAnsi="Arial" w:cs="Arial"/>
        </w:rPr>
      </w:pPr>
      <w:r>
        <w:rPr>
          <w:rFonts w:cs="Arial" w:ascii="Arial" w:hAnsi="Arial"/>
        </w:rPr>
        <w:t>(examples attached)</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Personnel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Lou Collarusso has an overall controlling function as well as accounting manager role.  Until the recent arrival of Andreas Barshkis, he was also responsible for risk management (although this was not a clearly defined role), and is still involved to a certain extent.  He is responsible for budgeting and forecasting for all businesses.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Frank  Mastraetto specialises in controlling the Concentrates figures.  He provides regular position and exposure information as well as providing monthly MTM and provisions.  This is fairly complex and specialised accounting due to the many variables in the products - Copper, Gold, Silver quantities, management of TC/RC (treatment costs &amp; refining costs), assays (impurities), shipping variables, QPs (Quotation periods)……  Frank is also responsible for preparing the monthly management report and package for London.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Lisette Farah is the main accountant for all other businesses.  She performs the allocations process based on excel spreadsheets and posts to SAP monthly for Business Unit P&amp;Ls.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Domenique Delme &amp; Kathy Gagel provide data input to the WANG and SAP systems (currently there are few interfaces between systems and much double inputting), accounts payables entry and bank reconciliations.</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Other departments performing accounting tasks</w:t>
      </w:r>
    </w:p>
    <w:p>
      <w:pPr>
        <w:pStyle w:val="Normal"/>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Cash posting is manual and performed by the Cash management team.</w:t>
      </w:r>
    </w:p>
    <w:p>
      <w:pPr>
        <w:pStyle w:val="Normal"/>
        <w:numPr>
          <w:ilvl w:val="0"/>
          <w:numId w:val="8"/>
        </w:numPr>
        <w:jc w:val="both"/>
        <w:rPr>
          <w:rFonts w:ascii="Arial" w:hAnsi="Arial" w:cs="Arial"/>
        </w:rPr>
      </w:pPr>
      <w:r>
        <w:rPr>
          <w:rFonts w:cs="Arial" w:ascii="Arial" w:hAnsi="Arial"/>
        </w:rPr>
        <w:t>Helge Morel analyses receivables and chases commercial teams on outstanding items.</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General accounting</w:t>
      </w:r>
    </w:p>
    <w:p>
      <w:pPr>
        <w:pStyle w:val="Normal"/>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Settlements information is held on the trading systems and invoices are then manually input to SAP (except for WANG system where there is an interface).</w:t>
      </w:r>
    </w:p>
    <w:p>
      <w:pPr>
        <w:pStyle w:val="Normal"/>
        <w:numPr>
          <w:ilvl w:val="0"/>
          <w:numId w:val="9"/>
        </w:numPr>
        <w:jc w:val="both"/>
        <w:rPr>
          <w:rFonts w:ascii="Arial" w:hAnsi="Arial" w:cs="Arial"/>
        </w:rPr>
      </w:pPr>
      <w:r>
        <w:rPr>
          <w:rFonts w:cs="Arial" w:ascii="Arial" w:hAnsi="Arial"/>
        </w:rPr>
        <w:t>MTM adjustments are booked monthly into SAP</w:t>
      </w:r>
    </w:p>
    <w:p>
      <w:pPr>
        <w:pStyle w:val="Normal"/>
        <w:numPr>
          <w:ilvl w:val="0"/>
          <w:numId w:val="9"/>
        </w:numPr>
        <w:jc w:val="both"/>
        <w:rPr>
          <w:rFonts w:ascii="Arial" w:hAnsi="Arial" w:cs="Arial"/>
        </w:rPr>
      </w:pPr>
      <w:r>
        <w:rPr>
          <w:rFonts w:cs="Arial" w:ascii="Arial" w:hAnsi="Arial"/>
        </w:rPr>
        <w:t>AP is booked directly to SAP</w:t>
      </w:r>
    </w:p>
    <w:p>
      <w:pPr>
        <w:pStyle w:val="Normal"/>
        <w:numPr>
          <w:ilvl w:val="0"/>
          <w:numId w:val="9"/>
        </w:numPr>
        <w:jc w:val="both"/>
        <w:rPr>
          <w:rFonts w:ascii="Arial" w:hAnsi="Arial" w:cs="Arial"/>
        </w:rPr>
      </w:pPr>
      <w:r>
        <w:rPr>
          <w:rFonts w:cs="Arial" w:ascii="Arial" w:hAnsi="Arial"/>
        </w:rPr>
        <w:t>Interest income and charges are booked to the Copper concentrates business and then allocated to other business units.</w:t>
      </w:r>
    </w:p>
    <w:p>
      <w:pPr>
        <w:pStyle w:val="Normal"/>
        <w:numPr>
          <w:ilvl w:val="0"/>
          <w:numId w:val="9"/>
        </w:numPr>
        <w:jc w:val="both"/>
        <w:rPr>
          <w:rFonts w:ascii="Arial" w:hAnsi="Arial" w:cs="Arial"/>
        </w:rPr>
      </w:pPr>
      <w:r>
        <w:rPr>
          <w:rFonts w:cs="Arial" w:ascii="Arial" w:hAnsi="Arial"/>
        </w:rPr>
        <w:t>Fixed assets are negligible and are held on a spread sheet.</w:t>
      </w:r>
    </w:p>
    <w:p>
      <w:pPr>
        <w:pStyle w:val="Normal"/>
        <w:numPr>
          <w:ilvl w:val="0"/>
          <w:numId w:val="6"/>
        </w:numPr>
        <w:jc w:val="both"/>
        <w:rPr>
          <w:rFonts w:ascii="Arial" w:hAnsi="Arial" w:cs="Arial"/>
        </w:rPr>
      </w:pPr>
      <w:r>
        <w:rPr>
          <w:rFonts w:cs="Arial" w:ascii="Arial" w:hAnsi="Arial"/>
        </w:rPr>
        <w:t>Inventory management is included (where appropriate) in the business specific software and not in SAP.</w:t>
      </w:r>
    </w:p>
    <w:p>
      <w:pPr>
        <w:pStyle w:val="Normal"/>
        <w:numPr>
          <w:ilvl w:val="0"/>
          <w:numId w:val="6"/>
        </w:numPr>
        <w:jc w:val="both"/>
        <w:rPr>
          <w:rFonts w:ascii="Arial" w:hAnsi="Arial" w:cs="Arial"/>
        </w:rPr>
      </w:pPr>
      <w:r>
        <w:rPr>
          <w:rFonts w:cs="Arial" w:ascii="Arial" w:hAnsi="Arial"/>
        </w:rPr>
        <w:t>Allocations are made between MG Nth America &amp; MG NY business units on the basis of budget.  There is no timesheet system in operation.  Each year, the % time to be allocated by each department is decided and the measures (such as headcount &amp; other weightings) are agreed up front.  Actual costs are then allocated out on that basis.  Payroll is input to each cost centre directly.</w:t>
      </w:r>
    </w:p>
    <w:p>
      <w:pPr>
        <w:pStyle w:val="Normal"/>
        <w:numPr>
          <w:ilvl w:val="0"/>
          <w:numId w:val="7"/>
        </w:numPr>
        <w:jc w:val="both"/>
        <w:rPr>
          <w:rFonts w:ascii="Arial" w:hAnsi="Arial" w:cs="Arial"/>
        </w:rPr>
      </w:pPr>
      <w:r>
        <w:rPr>
          <w:rFonts w:cs="Arial" w:ascii="Arial" w:hAnsi="Arial"/>
        </w:rPr>
        <w:t xml:space="preserve">T&amp;E expenses are all authorised by the business unit and reviewed for reasonableness by Lou Colarousso.  A three page guideline exists (see attached).  There is no centralised organisation for prices with travel agents, airlines or hotels (although they do have some negotiated rates in NY for visitors).  </w:t>
      </w:r>
      <w:r>
        <w:rPr>
          <w:rFonts w:cs="Arial" w:ascii="Arial" w:hAnsi="Arial"/>
          <w:i/>
        </w:rPr>
        <w:t>This is an immediate opportunity for synergy with Houston.</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u w:val="single"/>
        </w:rPr>
        <w:t>SAP organisation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Only FI and CO are used.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They have set up Business Areas in SAP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310 = Aluminium Scrap &amp; Agency</w:t>
      </w:r>
    </w:p>
    <w:p>
      <w:pPr>
        <w:pStyle w:val="Normal"/>
        <w:jc w:val="both"/>
        <w:rPr>
          <w:rFonts w:ascii="Arial" w:hAnsi="Arial" w:cs="Arial"/>
        </w:rPr>
      </w:pPr>
      <w:r>
        <w:rPr>
          <w:rFonts w:cs="Arial" w:ascii="Arial" w:hAnsi="Arial"/>
        </w:rPr>
        <w:t>400 = Copper Agency</w:t>
      </w:r>
    </w:p>
    <w:p>
      <w:pPr>
        <w:pStyle w:val="Normal"/>
        <w:jc w:val="both"/>
        <w:rPr>
          <w:rFonts w:ascii="Arial" w:hAnsi="Arial" w:cs="Arial"/>
        </w:rPr>
      </w:pPr>
      <w:r>
        <w:rPr>
          <w:rFonts w:cs="Arial" w:ascii="Arial" w:hAnsi="Arial"/>
        </w:rPr>
        <w:t>441 = Copper Concentrates</w:t>
      </w:r>
    </w:p>
    <w:p>
      <w:pPr>
        <w:pStyle w:val="Normal"/>
        <w:jc w:val="both"/>
        <w:rPr>
          <w:rFonts w:ascii="Arial" w:hAnsi="Arial" w:cs="Arial"/>
        </w:rPr>
      </w:pPr>
      <w:r>
        <w:rPr>
          <w:rFonts w:cs="Arial" w:ascii="Arial" w:hAnsi="Arial"/>
        </w:rPr>
        <w:t>470 = Zinc Agency</w:t>
      </w:r>
    </w:p>
    <w:p>
      <w:pPr>
        <w:pStyle w:val="Normal"/>
        <w:jc w:val="both"/>
        <w:rPr>
          <w:rFonts w:ascii="Arial" w:hAnsi="Arial" w:cs="Arial"/>
        </w:rPr>
      </w:pPr>
      <w:r>
        <w:rPr>
          <w:rFonts w:cs="Arial" w:ascii="Arial" w:hAnsi="Arial"/>
        </w:rPr>
        <w:t>450 = Copper Scrap</w:t>
      </w:r>
    </w:p>
    <w:p>
      <w:pPr>
        <w:pStyle w:val="Normal"/>
        <w:jc w:val="both"/>
        <w:rPr>
          <w:rFonts w:ascii="Arial" w:hAnsi="Arial" w:cs="Arial"/>
        </w:rPr>
      </w:pPr>
      <w:r>
        <w:rPr>
          <w:rFonts w:cs="Arial" w:ascii="Arial" w:hAnsi="Arial"/>
        </w:rPr>
        <w:t>880 = Finance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880 is further split out into cost centres for HR, Accounting, MIS, Cash management &amp; Risk management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P&amp;L and balance sheet  is prepared monthly for each business unit.</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Concentrates business only</w:t>
      </w:r>
    </w:p>
    <w:p>
      <w:pPr>
        <w:pStyle w:val="Normal"/>
        <w:jc w:val="both"/>
        <w:rPr>
          <w:rFonts w:ascii="Arial" w:hAnsi="Arial" w:cs="Arial"/>
        </w:rPr>
      </w:pPr>
      <w:r>
        <w:rPr>
          <w:rFonts w:cs="Arial" w:ascii="Arial" w:hAnsi="Arial"/>
        </w:rPr>
        <w:t>Internal Orders are set up for each purchase contract.  As all contracts are married – the Sales invoice will be attached and the final margin on individual sales can be monitored through the internal orders.</w:t>
      </w:r>
    </w:p>
    <w:p>
      <w:pPr>
        <w:pStyle w:val="Normal"/>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HR &amp; Payroll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Payroll is outsourced to a US payroll company – Ceridian.  Two HR managers (one in MG NA &amp; one in MG NY) deal with all HR.  The Ceridian system is held on a separate computer system in the HR department.  There are two parts - HRIS system with all employee details for both MGNY and MG Nth America, and payroll.  The system is Ceridian Source 500 and MG Nth America have a 5 user licence. An interface has been built to SAP in order to upload summary details of payroll.  They perform payroll &amp; HR services for MG Nth America, MG NY, Chicago, St Louis &amp; Montreal.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Benefit packages (copy supplied to HR) include Health, Dental, RX, Disability etc and are available to all employees.  A discretionary bonus system is also in existence – this is largely based on the results of the business unit and all employees are eligible.</w:t>
      </w:r>
    </w:p>
    <w:p>
      <w:pPr>
        <w:pStyle w:val="Normal"/>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Cash management</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A list of bank accounts managed by Harry Zlotnick is attached.  </w:t>
      </w:r>
      <w:r>
        <w:rPr>
          <w:rFonts w:cs="Arial" w:ascii="Arial" w:hAnsi="Arial"/>
          <w:i/>
        </w:rPr>
        <w:t>We note that Lisa D’Auria is a signatory on some MCC and MGL bank accounts – as she is an Enron Nth America employee, this should be changed immediately.</w:t>
      </w:r>
    </w:p>
    <w:p>
      <w:pPr>
        <w:pStyle w:val="Normal"/>
        <w:jc w:val="both"/>
        <w:rPr>
          <w:rFonts w:ascii="Arial" w:hAnsi="Arial" w:cs="Arial"/>
          <w:i/>
          <w:i/>
        </w:rPr>
      </w:pPr>
      <w:r>
        <w:rPr>
          <w:rFonts w:cs="Arial" w:ascii="Arial" w:hAnsi="Arial"/>
          <w:i/>
        </w:rPr>
      </w:r>
    </w:p>
    <w:p>
      <w:pPr>
        <w:pStyle w:val="Normal"/>
        <w:jc w:val="both"/>
        <w:rPr>
          <w:rFonts w:ascii="Arial" w:hAnsi="Arial" w:cs="Arial"/>
        </w:rPr>
      </w:pPr>
      <w:r>
        <w:rPr>
          <w:rFonts w:cs="Arial" w:ascii="Arial" w:hAnsi="Arial"/>
        </w:rPr>
        <w:t>Harry estimates that approximately 90% of his time he performs cash management for MG NY in liaison with London and about 10% of his time for MG Nth America in liaison with Frankfurt.  He has one assistant who posts all cash to SAP.  All bank accounts are in USD except for the Canadian accounts which are in CAD.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Harry pays all bills and cps through wire transfer (approx 450pm) or by cheque (approx 400pm).  He maintains the chequing accounts at zero on a daily basis and monitors the accounts through his online Chase Manhatten banking system.  Wire transfers are made on line – Harry, his assistant and Marcelo have access (Chase security means that any one of these people may authorise a transfer on input by a second person).  Internal rules over authorisation mean that one main authoriser and one secondary authoriser are needed to sign all cheques and authorise all wire transfers.  Harry holds all original invoices and pays only original invoices rather than accounting balances.  Cheques are cut automatically from SAP.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Harry also provides banking services to MCC London (for the Agency business).  In particular, he tracks payments from the Mint and transfers funds back to London USD accounts as they hit the US bank account.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Harry prepares a 15 day rolling cash flow and manages the bank accounts for the different businesses individually based on pre-determined limits.  He tracks the daily margin call (this varies with COMEX /LME rates) and moves cash into the correct account daily to cover this and other requirements.  All cash management is based on excel tables.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For the Agency business a $500k float is maintained and all excess cash is sent back to the UK.  For the Concentrates business, the excess is maintained in a DDE account and topped up from Funding lines.  Excess cash is invested in overnight commercial paper with Chase Manhatten.  Harry has authorisation to invest in TR1 and TR2 papers, but not TR3.  He may also invest in Euro dollars.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Funding line of $65 million is available for the Concentrates business.  Harry has jurisdiction to determine usage up to $50 million.  The remaining $15 million can only be drawn down through London.  Over the last few months the average usage has been around $35 to $40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 xml:space="preserve">Credit </w:t>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General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Until the creation of MG PLC, all Credit was handled out of Frankfurt.  Only the daily monitoring and provision of local US information was handled in 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Since the separation, there is limited monitoring of Position and Country risk (more feeling than system).  Marcelo Parra is directly responsible for credit.  General credit policy is;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All emerging markets pay by LOC (China, India, Korea) – no ship is loaded until LOC in place (rare exceptions are personally authorised by Marcelo).</w:t>
      </w:r>
    </w:p>
    <w:p>
      <w:pPr>
        <w:pStyle w:val="Normal"/>
        <w:numPr>
          <w:ilvl w:val="0"/>
          <w:numId w:val="2"/>
        </w:numPr>
        <w:jc w:val="both"/>
        <w:rPr>
          <w:rFonts w:ascii="Arial" w:hAnsi="Arial" w:cs="Arial"/>
        </w:rPr>
      </w:pPr>
      <w:r>
        <w:rPr>
          <w:rFonts w:cs="Arial" w:ascii="Arial" w:hAnsi="Arial"/>
        </w:rPr>
        <w:t>It is rare to do prepayments – but in those cases, this is structured as a loan to cps with banking securities set up.</w:t>
      </w:r>
    </w:p>
    <w:p>
      <w:pPr>
        <w:pStyle w:val="Normal"/>
        <w:numPr>
          <w:ilvl w:val="0"/>
          <w:numId w:val="2"/>
        </w:numPr>
        <w:jc w:val="both"/>
        <w:rPr>
          <w:rFonts w:ascii="Arial" w:hAnsi="Arial" w:cs="Arial"/>
        </w:rPr>
      </w:pPr>
      <w:r>
        <w:rPr>
          <w:rFonts w:cs="Arial" w:ascii="Arial" w:hAnsi="Arial"/>
        </w:rPr>
        <w:t>All new customers are credit checked and limits applied.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4"/>
        <w:ind w:hanging="0" w:start="0"/>
        <w:jc w:val="both"/>
        <w:rPr>
          <w:rFonts w:ascii="Arial" w:hAnsi="Arial" w:cs="Arial"/>
        </w:rPr>
      </w:pPr>
      <w:r>
        <w:rPr>
          <w:rFonts w:cs="Arial" w:ascii="Arial" w:hAnsi="Arial"/>
        </w:rPr>
        <w:t>LOC</w:t>
      </w:r>
    </w:p>
    <w:p>
      <w:pPr>
        <w:pStyle w:val="Normal"/>
        <w:jc w:val="both"/>
        <w:rPr>
          <w:rFonts w:ascii="Arial" w:hAnsi="Arial" w:cs="Arial"/>
        </w:rPr>
      </w:pPr>
      <w:r>
        <w:rPr>
          <w:rFonts w:cs="Arial" w:ascii="Arial" w:hAnsi="Arial"/>
        </w:rPr>
      </w:r>
    </w:p>
    <w:p>
      <w:pPr>
        <w:pStyle w:val="BodyText"/>
        <w:jc w:val="both"/>
        <w:rPr>
          <w:rFonts w:ascii="Arial" w:hAnsi="Arial" w:cs="Arial"/>
        </w:rPr>
      </w:pPr>
      <w:r>
        <w:rPr>
          <w:rFonts w:cs="Arial" w:ascii="Arial" w:hAnsi="Arial"/>
        </w:rPr>
        <w:t>Note;  more details on Concentrates business are shown on separate memo – this would be useful to understand the summary below.</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letter of Credit is put in place prior to shipment for 90% of the Concentrates business. LOC management is with Tom Burns in the Concentrates contract admin team.  Each married contract for concentrates (purchase and sale matched) has a single contract administrator who is responsible for all aspects of contract admin including setting up LOCs.  Tom provides a centralisation and specialist advice.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LOC are usually for between $5million and $6million and will normally represent upto 110% of contract estimated prices.  They are put in place for sales to China, Korea &amp; India.  LOC must be in place between 15 days prior to shipment and 10 days prior to vessel arrival (at load point).  The reps in China, Korea &amp; India play an important role in getting LOC opened and liaising with local banks.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MG entice customers to use their main advising banks - Chase Manhatten (in Korea) and HSBC in India &amp; China.  MG are advised out of NY.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Although this may vary from contract to contract, the normal process for setting up LOC is as follows;</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Contract admin review copies of drafts/confirmations and ensure that there are no approval conditions, validate the % invoice to present on first (and sometimes second) provisional invoicing, if financing is extended, if final payment included on LOC.</w:t>
      </w:r>
    </w:p>
    <w:p>
      <w:pPr>
        <w:pStyle w:val="Normal"/>
        <w:numPr>
          <w:ilvl w:val="0"/>
          <w:numId w:val="5"/>
        </w:numPr>
        <w:jc w:val="both"/>
        <w:rPr>
          <w:rFonts w:ascii="Arial" w:hAnsi="Arial" w:cs="Arial"/>
        </w:rPr>
      </w:pPr>
      <w:r>
        <w:rPr>
          <w:rFonts w:cs="Arial" w:ascii="Arial" w:hAnsi="Arial"/>
        </w:rPr>
        <w:t>Proforma invoice is issued and is the basis of opening the LOC</w:t>
      </w:r>
    </w:p>
    <w:p>
      <w:pPr>
        <w:pStyle w:val="Normal"/>
        <w:numPr>
          <w:ilvl w:val="0"/>
          <w:numId w:val="5"/>
        </w:numPr>
        <w:jc w:val="both"/>
        <w:rPr>
          <w:rFonts w:ascii="Arial" w:hAnsi="Arial" w:cs="Arial"/>
        </w:rPr>
      </w:pPr>
      <w:r>
        <w:rPr>
          <w:rFonts w:cs="Arial" w:ascii="Arial" w:hAnsi="Arial"/>
        </w:rPr>
        <w:t>Open LOCs are monitored on an excel spreadsheet and reconciled to the shipping schedule weekly</w:t>
      </w:r>
    </w:p>
    <w:p>
      <w:pPr>
        <w:pStyle w:val="Normal"/>
        <w:numPr>
          <w:ilvl w:val="0"/>
          <w:numId w:val="5"/>
        </w:numPr>
        <w:jc w:val="both"/>
        <w:rPr>
          <w:rFonts w:ascii="Arial" w:hAnsi="Arial" w:cs="Arial"/>
        </w:rPr>
      </w:pPr>
      <w:r>
        <w:rPr>
          <w:rFonts w:cs="Arial" w:ascii="Arial" w:hAnsi="Arial"/>
        </w:rPr>
        <w:t>A monthly report of open LOCs is also provided to management on an excel spreadsheet</w:t>
      </w:r>
    </w:p>
    <w:p>
      <w:pPr>
        <w:pStyle w:val="Normal"/>
        <w:numPr>
          <w:ilvl w:val="0"/>
          <w:numId w:val="5"/>
        </w:numPr>
        <w:jc w:val="both"/>
        <w:rPr>
          <w:rFonts w:ascii="Arial" w:hAnsi="Arial" w:cs="Arial"/>
        </w:rPr>
      </w:pPr>
      <w:r>
        <w:rPr>
          <w:rFonts w:cs="Arial" w:ascii="Arial" w:hAnsi="Arial"/>
        </w:rPr>
        <w:t>A final invoice is issued at the end of the contract (sometimes up to 4 months after delivery)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organisation of LOC varies slightly between country.</w:t>
      </w:r>
    </w:p>
    <w:p>
      <w:pPr>
        <w:pStyle w:val="Normal"/>
        <w:jc w:val="both"/>
        <w:rPr>
          <w:rFonts w:ascii="Arial" w:hAnsi="Arial" w:cs="Arial"/>
        </w:rPr>
      </w:pPr>
      <w:r>
        <w:rPr>
          <w:rFonts w:cs="Arial" w:ascii="Arial" w:hAnsi="Arial"/>
        </w:rPr>
      </w:r>
    </w:p>
    <w:p>
      <w:pPr>
        <w:pStyle w:val="Heading5"/>
        <w:ind w:hanging="0" w:start="0"/>
        <w:jc w:val="both"/>
        <w:rPr>
          <w:rFonts w:ascii="Arial" w:hAnsi="Arial" w:cs="Arial"/>
        </w:rPr>
      </w:pPr>
      <w:r>
        <w:rPr>
          <w:rFonts w:cs="Arial" w:ascii="Arial" w:hAnsi="Arial"/>
        </w:rPr>
        <w:t>India</w:t>
      </w:r>
    </w:p>
    <w:p>
      <w:pPr>
        <w:pStyle w:val="Normal"/>
        <w:jc w:val="both"/>
        <w:rPr>
          <w:rFonts w:ascii="Arial" w:hAnsi="Arial" w:cs="Arial"/>
        </w:rPr>
      </w:pPr>
      <w:r>
        <w:rPr>
          <w:rFonts w:cs="Arial" w:ascii="Arial" w:hAnsi="Arial"/>
        </w:rPr>
        <w:t>There are two main customers – Starlight &amp; Birla.  If the cps do not use MGs main advising banks they are obliged to use an Indian branch of a US bank.  If they chose not to use MGs main advising banks, the confirmation fees are payable by the CP (otherwise payable by MG).  The Indian system is for the issuing bank to offer a straight confirmation.</w:t>
      </w:r>
    </w:p>
    <w:p>
      <w:pPr>
        <w:pStyle w:val="Normal"/>
        <w:jc w:val="both"/>
        <w:rPr>
          <w:rFonts w:ascii="Arial" w:hAnsi="Arial" w:cs="Arial"/>
        </w:rPr>
      </w:pPr>
      <w:r>
        <w:rPr>
          <w:rFonts w:cs="Arial" w:ascii="Arial" w:hAnsi="Arial"/>
        </w:rPr>
      </w:r>
    </w:p>
    <w:p>
      <w:pPr>
        <w:pStyle w:val="Heading5"/>
        <w:ind w:hanging="0" w:start="0"/>
        <w:jc w:val="both"/>
        <w:rPr>
          <w:rFonts w:ascii="Arial" w:hAnsi="Arial" w:cs="Arial"/>
        </w:rPr>
      </w:pPr>
      <w:r>
        <w:rPr>
          <w:rFonts w:cs="Arial" w:ascii="Arial" w:hAnsi="Arial"/>
        </w:rPr>
        <w:t>China</w:t>
      </w:r>
    </w:p>
    <w:p>
      <w:pPr>
        <w:pStyle w:val="Normal"/>
        <w:jc w:val="both"/>
        <w:rPr/>
      </w:pPr>
      <w:r>
        <w:rPr>
          <w:rFonts w:cs="Arial" w:ascii="Arial" w:hAnsi="Arial"/>
        </w:rPr>
        <w:t>Due to Chinese culture it is not possible to obtain a straight confirmation.  A system of silent confirmation has therefore been set up and the LOC always states without confirmation.   The silent confirmation process covers the exposure…..HSBC issue a commitment to purchase the LOC and set up a credit line which is opened on 1</w:t>
      </w:r>
      <w:r>
        <w:rPr>
          <w:rFonts w:cs="Arial" w:ascii="Arial" w:hAnsi="Arial"/>
          <w:vertAlign w:val="superscript"/>
        </w:rPr>
        <w:t>st</w:t>
      </w:r>
      <w:r>
        <w:rPr>
          <w:rFonts w:cs="Arial" w:ascii="Arial" w:hAnsi="Arial"/>
        </w:rPr>
        <w:t xml:space="preserve"> presentation of the provisional invoice.  HSBC then discount the bill or purchase it at a rate of between 0.95 and 1.25.  Funds are drawn down when the ship arrives at the Chinese port.</w:t>
      </w:r>
    </w:p>
    <w:p>
      <w:pPr>
        <w:pStyle w:val="Normal"/>
        <w:jc w:val="both"/>
        <w:rPr>
          <w:rFonts w:ascii="Arial" w:hAnsi="Arial" w:cs="Arial"/>
        </w:rPr>
      </w:pPr>
      <w:r>
        <w:rPr>
          <w:rFonts w:cs="Arial" w:ascii="Arial" w:hAnsi="Arial"/>
        </w:rPr>
      </w:r>
    </w:p>
    <w:p>
      <w:pPr>
        <w:pStyle w:val="Heading5"/>
        <w:ind w:hanging="0" w:start="0"/>
        <w:jc w:val="both"/>
        <w:rPr>
          <w:rFonts w:ascii="Arial" w:hAnsi="Arial" w:cs="Arial"/>
        </w:rPr>
      </w:pPr>
      <w:r>
        <w:rPr>
          <w:rFonts w:cs="Arial" w:ascii="Arial" w:hAnsi="Arial"/>
        </w:rPr>
        <w:t>Korea</w:t>
      </w:r>
    </w:p>
    <w:p>
      <w:pPr>
        <w:pStyle w:val="Normal"/>
        <w:jc w:val="both"/>
        <w:rPr>
          <w:rFonts w:ascii="Arial" w:hAnsi="Arial" w:cs="Arial"/>
        </w:rPr>
      </w:pPr>
      <w:r>
        <w:rPr>
          <w:rFonts w:cs="Arial" w:ascii="Arial" w:hAnsi="Arial"/>
        </w:rPr>
        <w:t>Similar to India.</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Credit Checking</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Helge Morel maintains a file on each customer.  She provides (and updates) credit evaluations which are obtained by traditional methods – trade references, bank references, D&amp;B evaluations, Financial Statement reviews.  There is no automation or central database for this function.  She provides a credit evaluation and proposes credit limits (see attached example of credit evaluation)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Limit monitoring is performed by Helge Morel (but this is only really done monthly and is largely manual – no centralised database with other MG cos).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Credit control – i.e. ensuring payment by cps.  This is largely the responsibility of the commercial team – Helge Morel produces monthly schedules with advice, Harry Zlotnick warns when expected cash is not received.</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t>Proposed improvements</w:t>
      </w:r>
    </w:p>
    <w:p>
      <w:pPr>
        <w:pStyle w:val="Normal"/>
        <w:jc w:val="both"/>
        <w:rPr>
          <w:rFonts w:ascii="Arial" w:hAnsi="Arial" w:cs="Arial"/>
          <w:u w:val="single"/>
        </w:rPr>
      </w:pPr>
      <w:r>
        <w:rPr>
          <w:rFonts w:cs="Arial" w:ascii="Arial" w:hAnsi="Arial"/>
          <w:u w:val="single"/>
        </w:rPr>
      </w:r>
    </w:p>
    <w:p>
      <w:pPr>
        <w:pStyle w:val="Normal"/>
        <w:numPr>
          <w:ilvl w:val="0"/>
          <w:numId w:val="4"/>
        </w:numPr>
        <w:jc w:val="both"/>
        <w:rPr>
          <w:rFonts w:ascii="Arial" w:hAnsi="Arial" w:cs="Arial"/>
        </w:rPr>
      </w:pPr>
      <w:r>
        <w:rPr>
          <w:rFonts w:cs="Arial" w:ascii="Arial" w:hAnsi="Arial"/>
        </w:rPr>
        <w:t>They had planned to centralise credit information through Mercur and set up an 80% of credit limit alert system</w:t>
      </w:r>
    </w:p>
    <w:p>
      <w:pPr>
        <w:pStyle w:val="Normal"/>
        <w:numPr>
          <w:ilvl w:val="0"/>
          <w:numId w:val="4"/>
        </w:numPr>
        <w:jc w:val="both"/>
        <w:rPr>
          <w:rFonts w:ascii="Arial" w:hAnsi="Arial" w:cs="Arial"/>
        </w:rPr>
      </w:pPr>
      <w:r>
        <w:rPr>
          <w:rFonts w:cs="Arial" w:ascii="Arial" w:hAnsi="Arial"/>
        </w:rPr>
        <w:t>Marcello is concerned that the group as a whole does not have adequate credit aggregation and does not monitor on a geographical basis, nor do they monitor groups or counterparties by type across business units.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2000-06-25T13:30:00Z</dcterms:created>
  <dc:creator>nconnell</dc:creator>
  <dc:description/>
  <dc:language>en-CA</dc:language>
  <cp:lastModifiedBy>EGerratt</cp:lastModifiedBy>
  <dcterms:modified xsi:type="dcterms:W3CDTF">2000-06-26T16:35:00Z</dcterms:modified>
  <cp:revision>4</cp:revision>
  <dc:subject/>
  <dc:title>MG NEW YORK – OVERVIEW &amp; SUPPORT ORGANISATION</dc:title>
</cp:coreProperties>
</file>