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4"/>
        </w:rPr>
      </w:pPr>
      <w:r>
        <w:rPr>
          <w:b/>
          <w:bCs/>
          <w:sz w:val="44"/>
        </w:rPr>
      </w:r>
    </w:p>
    <w:p>
      <w:pPr>
        <w:pStyle w:val="Normal"/>
        <w:jc w:val="center"/>
        <w:rPr>
          <w:b/>
          <w:bCs/>
          <w:sz w:val="44"/>
        </w:rPr>
      </w:pPr>
      <w:r>
        <w:rPr>
          <w:b/>
          <w:bCs/>
          <w:sz w:val="44"/>
        </w:rPr>
      </w:r>
    </w:p>
    <w:p>
      <w:pPr>
        <w:pStyle w:val="Normal"/>
        <w:jc w:val="center"/>
        <w:rPr>
          <w:sz w:val="36"/>
        </w:rPr>
      </w:pPr>
      <w:r>
        <w:rPr>
          <w:sz w:val="36"/>
        </w:rPr>
        <w:t>MGMT 656</w:t>
      </w:r>
    </w:p>
    <w:p>
      <w:pPr>
        <w:pStyle w:val="Normal"/>
        <w:jc w:val="center"/>
        <w:rPr>
          <w:sz w:val="36"/>
        </w:rPr>
      </w:pPr>
      <w:r>
        <w:rPr>
          <w:sz w:val="36"/>
        </w:rPr>
        <w:t>Energy Derivatives</w:t>
      </w:r>
    </w:p>
    <w:p>
      <w:pPr>
        <w:pStyle w:val="Normal"/>
        <w:jc w:val="center"/>
        <w:rPr>
          <w:b/>
          <w:bCs/>
          <w:sz w:val="44"/>
        </w:rPr>
      </w:pPr>
      <w:r>
        <w:rPr>
          <w:b/>
          <w:bCs/>
          <w:sz w:val="44"/>
        </w:rPr>
      </w:r>
    </w:p>
    <w:p>
      <w:pPr>
        <w:pStyle w:val="Normal"/>
        <w:jc w:val="center"/>
        <w:rPr>
          <w:b/>
          <w:bCs/>
          <w:sz w:val="44"/>
        </w:rPr>
      </w:pPr>
      <w:r>
        <w:rPr>
          <w:b/>
          <w:bCs/>
          <w:sz w:val="44"/>
        </w:rPr>
      </w:r>
    </w:p>
    <w:p>
      <w:pPr>
        <w:pStyle w:val="Normal"/>
        <w:jc w:val="center"/>
        <w:rPr>
          <w:b/>
          <w:bCs/>
          <w:sz w:val="44"/>
        </w:rPr>
      </w:pPr>
      <w:r>
        <w:rPr>
          <w:b/>
          <w:bCs/>
          <w:sz w:val="44"/>
        </w:rPr>
      </w:r>
    </w:p>
    <w:p>
      <w:pPr>
        <w:pStyle w:val="Normal"/>
        <w:jc w:val="center"/>
        <w:rPr>
          <w:b/>
          <w:bCs/>
          <w:sz w:val="44"/>
        </w:rPr>
      </w:pPr>
      <w:r>
        <w:rPr>
          <w:b/>
          <w:bCs/>
          <w:sz w:val="44"/>
        </w:rPr>
      </w:r>
    </w:p>
    <w:p>
      <w:pPr>
        <w:pStyle w:val="Normal"/>
        <w:jc w:val="center"/>
        <w:rPr>
          <w:b/>
          <w:bCs/>
          <w:sz w:val="44"/>
        </w:rPr>
      </w:pPr>
      <w:r>
        <w:rPr>
          <w:b/>
          <w:bCs/>
          <w:sz w:val="44"/>
        </w:rPr>
      </w:r>
    </w:p>
    <w:p>
      <w:pPr>
        <w:pStyle w:val="Normal"/>
        <w:jc w:val="center"/>
        <w:rPr>
          <w:b/>
          <w:bCs/>
          <w:sz w:val="44"/>
        </w:rPr>
      </w:pPr>
      <w:r>
        <w:rPr>
          <w:b/>
          <w:bCs/>
          <w:sz w:val="44"/>
        </w:rPr>
        <w:t>Study of the Metallgesellschaft Derivatives Debacle</w:t>
      </w:r>
    </w:p>
    <w:p>
      <w:pPr>
        <w:pStyle w:val="Normal"/>
        <w:jc w:val="center"/>
        <w:rPr>
          <w:b/>
          <w:bCs/>
          <w:sz w:val="44"/>
        </w:rPr>
      </w:pPr>
      <w:r>
        <w:rPr>
          <w:b/>
          <w:bCs/>
          <w:sz w:val="44"/>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Heading1"/>
        <w:ind w:hanging="0" w:start="0"/>
        <w:rPr>
          <w:b w:val="false"/>
          <w:bCs w:val="false"/>
          <w:sz w:val="24"/>
        </w:rPr>
      </w:pPr>
      <w:r>
        <w:rPr>
          <w:b w:val="false"/>
          <w:bCs w:val="false"/>
          <w:sz w:val="24"/>
        </w:rPr>
      </w:r>
    </w:p>
    <w:p>
      <w:pPr>
        <w:pStyle w:val="Heading1"/>
        <w:ind w:hanging="0" w:start="0"/>
        <w:jc w:val="center"/>
        <w:rPr>
          <w:sz w:val="36"/>
        </w:rPr>
      </w:pPr>
      <w:r>
        <w:rPr>
          <w:sz w:val="36"/>
        </w:rPr>
        <w:t>April 26, 2001</w:t>
      </w:r>
    </w:p>
    <w:p>
      <w:pPr>
        <w:pStyle w:val="Normal"/>
        <w:jc w:val="center"/>
        <w:rPr>
          <w:sz w:val="36"/>
        </w:rPr>
      </w:pPr>
      <w:r>
        <w:rPr>
          <w:sz w:val="36"/>
        </w:rPr>
      </w:r>
    </w:p>
    <w:p>
      <w:pPr>
        <w:pStyle w:val="Normal"/>
        <w:jc w:val="center"/>
        <w:rPr>
          <w:sz w:val="36"/>
        </w:rPr>
      </w:pPr>
      <w:r>
        <w:rPr>
          <w:sz w:val="36"/>
        </w:rPr>
      </w:r>
    </w:p>
    <w:p>
      <w:pPr>
        <w:pStyle w:val="Normal"/>
        <w:jc w:val="center"/>
        <w:rPr>
          <w:sz w:val="32"/>
          <w:u w:val="single"/>
        </w:rPr>
      </w:pPr>
      <w:r>
        <w:rPr>
          <w:sz w:val="32"/>
          <w:u w:val="single"/>
        </w:rPr>
        <w:t>Presented By:</w:t>
      </w:r>
    </w:p>
    <w:p>
      <w:pPr>
        <w:pStyle w:val="Normal"/>
        <w:jc w:val="center"/>
        <w:rPr>
          <w:sz w:val="36"/>
          <w:u w:val="single"/>
        </w:rPr>
      </w:pPr>
      <w:r>
        <w:rPr>
          <w:sz w:val="36"/>
          <w:u w:val="single"/>
        </w:rPr>
      </w:r>
    </w:p>
    <w:p>
      <w:pPr>
        <w:pStyle w:val="Normal"/>
        <w:jc w:val="center"/>
        <w:rPr>
          <w:sz w:val="36"/>
        </w:rPr>
      </w:pPr>
      <w:r>
        <w:rPr>
          <w:sz w:val="36"/>
        </w:rPr>
        <w:t>Helen Demianenko</w:t>
      </w:r>
    </w:p>
    <w:p>
      <w:pPr>
        <w:pStyle w:val="Normal"/>
        <w:jc w:val="center"/>
        <w:rPr>
          <w:sz w:val="36"/>
        </w:rPr>
      </w:pPr>
      <w:r>
        <w:rPr>
          <w:sz w:val="36"/>
        </w:rPr>
        <w:t>Javier Lamas</w:t>
      </w:r>
    </w:p>
    <w:p>
      <w:pPr>
        <w:pStyle w:val="Normal"/>
        <w:jc w:val="center"/>
        <w:rPr>
          <w:sz w:val="36"/>
        </w:rPr>
      </w:pPr>
      <w:r>
        <w:rPr>
          <w:sz w:val="36"/>
        </w:rPr>
        <w:t>Lynn Nazareth</w:t>
      </w:r>
    </w:p>
    <w:p>
      <w:pPr>
        <w:pStyle w:val="Normal"/>
        <w:jc w:val="center"/>
        <w:rPr>
          <w:sz w:val="36"/>
        </w:rPr>
      </w:pPr>
      <w:r>
        <w:rPr>
          <w:sz w:val="36"/>
        </w:rPr>
        <w:t>Shauywn Smith</w:t>
      </w:r>
    </w:p>
    <w:p>
      <w:pPr>
        <w:pStyle w:val="Normal"/>
        <w:jc w:val="center"/>
        <w:rPr>
          <w:sz w:val="36"/>
        </w:rPr>
      </w:pPr>
      <w:r>
        <w:rPr>
          <w:sz w:val="36"/>
        </w:rPr>
        <w:t>Carlos Wheelock</w:t>
      </w:r>
    </w:p>
    <w:p>
      <w:pPr>
        <w:pStyle w:val="Normal"/>
        <w:jc w:val="center"/>
        <w:rPr>
          <w:sz w:val="36"/>
        </w:rPr>
      </w:pPr>
      <w:r>
        <w:rPr>
          <w:sz w:val="36"/>
        </w:rPr>
        <w:t>Sarah Wooddy</w:t>
      </w:r>
    </w:p>
    <w:p>
      <w:pPr>
        <w:pStyle w:val="Normal"/>
        <w:jc w:val="both"/>
        <w:rPr>
          <w:sz w:val="36"/>
        </w:rPr>
      </w:pPr>
      <w:r>
        <w:rPr>
          <w:sz w:val="36"/>
        </w:rPr>
      </w:r>
    </w:p>
    <w:p>
      <w:pPr>
        <w:pStyle w:val="Heading1"/>
        <w:ind w:hanging="0" w:start="0"/>
        <w:jc w:val="both"/>
        <w:rPr/>
      </w:pPr>
      <w:r>
        <w:rPr/>
        <w:t>I. Background</w:t>
      </w:r>
    </w:p>
    <w:p>
      <w:pPr>
        <w:pStyle w:val="Heading2"/>
        <w:ind w:hanging="0" w:start="0"/>
        <w:rPr/>
      </w:pPr>
      <w:r>
        <w:rPr/>
        <w:t>Use of Derivatives in the Energy Industry</w:t>
      </w:r>
    </w:p>
    <w:p>
      <w:pPr>
        <w:pStyle w:val="Normal"/>
        <w:jc w:val="both"/>
        <w:rPr/>
      </w:pPr>
      <w:r>
        <w:rPr/>
      </w:r>
    </w:p>
    <w:p>
      <w:pPr>
        <w:pStyle w:val="BodyText"/>
        <w:rPr/>
      </w:pPr>
      <w:r>
        <w:rPr/>
        <w:t>In the first half of 1986, world oil prices plummeted by 50 percent, overall, energy prices went down by 24 percent.  Even though this created a boom in the economy in aggregate, it was disastrous for oil producers and suppliers of machinery and equipment in the industry.  During the first half of the 1980’s, the U.S. dollar appreciated by 50 percent in real terms, only to fall back to its starting point in 1988.  The strong dollar forced U.S. based exporters to cut prices to compete in the global market. This in turn hurt short-term profitability and long-term competitiveness.  Companies realized that they could hedge away their exposure to fluctuations in oil prices and exchange rates by using the derivatives markets.</w:t>
      </w:r>
    </w:p>
    <w:p>
      <w:pPr>
        <w:pStyle w:val="Normal"/>
        <w:jc w:val="both"/>
        <w:rPr/>
      </w:pPr>
      <w:r>
        <w:rPr/>
      </w:r>
    </w:p>
    <w:p>
      <w:pPr>
        <w:pStyle w:val="BodyText2"/>
        <w:rPr>
          <w:color w:val="000000"/>
        </w:rPr>
      </w:pPr>
      <w:r>
        <w:rPr>
          <w:color w:val="000000"/>
        </w:rPr>
        <w:t>The reason hedging became so important in the day-to-day operations of oil products suppliers and buyers, is because of the wild fluctuations in energy prices.  Events such as the Gulf War and resulting oil crisis, as well as the sometimes radical and unpredictable behavior of the OPEC producers, caused unprecedented and long-lasting effects on the economic stability and operations of both producers and consumers.</w:t>
      </w:r>
    </w:p>
    <w:p>
      <w:pPr>
        <w:pStyle w:val="Normal"/>
        <w:jc w:val="both"/>
        <w:rPr>
          <w:color w:val="000000"/>
        </w:rPr>
      </w:pPr>
      <w:r>
        <w:rPr>
          <w:color w:val="000000"/>
        </w:rPr>
      </w:r>
    </w:p>
    <w:p>
      <w:pPr>
        <w:pStyle w:val="Normal"/>
        <w:jc w:val="both"/>
        <w:rPr/>
      </w:pPr>
      <w:r>
        <w:rPr/>
        <w:t>The General Accounting Office reports that between 1989 and 1992 the use of derivatives, among them futures, forwards, options and swaps grew by 145 percent.  Much of that growth came from corporations; one recent study shows a more than four-fold increase between 1987 and 1991 in their use of some types of derivatives.  Although many corporations are heavily involved in risk management, there is no clear-cut accepted set of principles with which to guide decisions.  “Recent years have witnessed numerous accounts of derivatives-related losses on the part of established and reputable firms.  These episodes have precipitated concerns, and even alarm, over the recent rapid growth of derivatives markets and the dangers posed by the widespread use of such instruments.”</w:t>
      </w:r>
      <w:r>
        <w:rPr>
          <w:rStyle w:val="EndnoteCharacters"/>
          <w:rStyle w:val="EndnoteReference"/>
        </w:rPr>
        <w:endnoteReference w:id="2"/>
      </w:r>
      <w:r>
        <w:rPr/>
        <w:t xml:space="preserve">  The Group of Thirty attempted to put forward a set of recommendations for companies to follow when using implementing derivative instruments as part of a risk management strategy.  Unfortunately, while financial theorists keep coming out with new financial tools to hedge exposure, they do not agree on the best way for managers to use them effectively.</w:t>
      </w:r>
    </w:p>
    <w:p>
      <w:pPr>
        <w:pStyle w:val="Heading2"/>
        <w:spacing w:before="0" w:after="0"/>
        <w:ind w:hanging="0" w:start="0"/>
        <w:rPr>
          <w:color w:val="FF00FF"/>
          <w:szCs w:val="24"/>
        </w:rPr>
      </w:pPr>
      <w:r>
        <w:rPr>
          <w:color w:val="FF00FF"/>
          <w:szCs w:val="24"/>
        </w:rPr>
      </w:r>
    </w:p>
    <w:p>
      <w:pPr>
        <w:pStyle w:val="Heading2"/>
        <w:spacing w:before="0" w:after="0"/>
        <w:ind w:hanging="0" w:start="0"/>
        <w:rPr>
          <w:szCs w:val="24"/>
        </w:rPr>
      </w:pPr>
      <w:r>
        <w:rPr>
          <w:szCs w:val="24"/>
        </w:rPr>
        <w:t>Metallgesellschaft AG</w:t>
      </w:r>
    </w:p>
    <w:p>
      <w:pPr>
        <w:pStyle w:val="Normal"/>
        <w:rPr>
          <w:szCs w:val="24"/>
        </w:rPr>
      </w:pPr>
      <w:r>
        <w:rPr>
          <w:szCs w:val="24"/>
        </w:rPr>
      </w:r>
    </w:p>
    <w:p>
      <w:pPr>
        <w:pStyle w:val="Normal"/>
        <w:jc w:val="both"/>
        <w:rPr/>
      </w:pPr>
      <w:r>
        <w:rPr/>
        <w:t xml:space="preserve">Metallgesellschaft AG is a $15 billion sales commodity and engineering conglomerate that employs about 46,000 people and is based in Frankfurt and Main, Germany.  The company is owned primarily by Deutsche Bank AG, the Dresdner Bank AG, Daimler-Benz, Allianz, and the Kuwait Investment Authority. </w:t>
      </w:r>
    </w:p>
    <w:p>
      <w:pPr>
        <w:pStyle w:val="Normal"/>
        <w:jc w:val="both"/>
        <w:rPr/>
      </w:pPr>
      <w:r>
        <w:rPr/>
      </w:r>
    </w:p>
    <w:p>
      <w:pPr>
        <w:pStyle w:val="Normal"/>
        <w:jc w:val="both"/>
        <w:rPr/>
      </w:pPr>
      <w:r>
        <w:rPr/>
        <w:t>MG was a traditional metal company, however, by 1991 the company was engaged in a number of different activities, from mining and engineering to trade and financial services. In 1992, Metallgesellschaft Corp. in New York transformed its energy activities from a traditional trading house into an integrated risk management enterprise, Metallgesellschaft Refining and Marketing (MGRM), a U.S. marketing organization and part owner of a U.S. oil refinery.</w:t>
      </w:r>
      <w:r>
        <w:rPr>
          <w:color w:val="FF00FF"/>
        </w:rPr>
        <w:t xml:space="preserve">  </w:t>
      </w:r>
      <w:r>
        <w:rPr/>
        <w:t>MGRM's expanded venture into the derivatives world began in 1991 with the hiring of Arthur Benson and a risk management team from Louis Dreyfus Energy. It is believed that it was Benson's strategy that eventually contributed to infamous derivatives debacle and near-insolvency of MGRM in the early 1990s.</w:t>
      </w:r>
    </w:p>
    <w:p>
      <w:pPr>
        <w:pStyle w:val="Normal"/>
        <w:jc w:val="both"/>
        <w:rPr>
          <w:color w:val="FF00FF"/>
        </w:rPr>
      </w:pPr>
      <w:r>
        <w:rPr>
          <w:color w:val="FF00FF"/>
        </w:rPr>
      </w:r>
    </w:p>
    <w:p>
      <w:pPr>
        <w:pStyle w:val="Normal"/>
        <w:jc w:val="both"/>
        <w:rPr>
          <w:color w:val="FF00FF"/>
        </w:rPr>
      </w:pPr>
      <w:r>
        <w:rPr>
          <w:color w:val="FF00FF"/>
        </w:rPr>
      </w:r>
    </w:p>
    <w:p>
      <w:pPr>
        <w:pStyle w:val="Normal"/>
        <w:jc w:val="both"/>
        <w:rPr>
          <w:color w:val="FF00FF"/>
        </w:rPr>
      </w:pPr>
      <w:r>
        <w:rPr>
          <w:color w:val="FF00FF"/>
        </w:rPr>
      </w:r>
    </w:p>
    <w:p>
      <w:pPr>
        <w:pStyle w:val="Normal"/>
        <w:jc w:val="both"/>
        <w:rPr/>
      </w:pPr>
      <w:r>
        <w:rPr/>
      </w:r>
    </w:p>
    <w:p>
      <w:pPr>
        <w:pStyle w:val="Normal"/>
        <w:jc w:val="both"/>
        <w:rPr/>
      </w:pPr>
      <w:r>
        <w:rPr/>
      </w:r>
    </w:p>
    <w:p>
      <w:pPr>
        <w:pStyle w:val="Normal"/>
        <w:jc w:val="both"/>
        <w:rPr/>
      </w:pPr>
      <w:r>
        <w:rPr/>
      </w:r>
      <w:r>
        <w:br w:type="page"/>
      </w:r>
    </w:p>
    <w:p>
      <w:pPr>
        <w:pStyle w:val="Heading1"/>
        <w:ind w:hanging="0" w:start="0"/>
        <w:jc w:val="both"/>
        <w:rPr/>
      </w:pPr>
      <w:r>
        <w:rPr/>
        <w:t>II. Analysis of the Hedging Program</w:t>
      </w:r>
    </w:p>
    <w:p>
      <w:pPr>
        <w:pStyle w:val="Heading2"/>
        <w:ind w:hanging="0" w:start="0"/>
        <w:jc w:val="both"/>
        <w:rPr/>
      </w:pPr>
      <w:r>
        <w:rPr/>
        <w:t>Analysis of the Marketing Program</w:t>
      </w:r>
    </w:p>
    <w:p>
      <w:pPr>
        <w:pStyle w:val="Normal"/>
        <w:jc w:val="both"/>
        <w:rPr/>
      </w:pPr>
      <w:r>
        <w:rPr/>
      </w:r>
    </w:p>
    <w:p>
      <w:pPr>
        <w:pStyle w:val="Normal"/>
        <w:jc w:val="both"/>
        <w:rPr/>
      </w:pPr>
      <w:r>
        <w:rPr/>
        <w:t>MGRM marketed oil products such as gasoline, heating oil, and diesel fuel by offering wholesale and retail customers long-term, fixed price contracts. When oil prices fell after the Gulf war in 1991, customers were eager to enter into such contracts in order to lock in cheaper supplies. Given the Persian Gulf crisis and the volatile nature of the petroleum market, MGRM believed that they would be able to provide their customers with the ability to shift or eliminate some of their oil price risk.  MGRM’s management felt that “their financial resources gave them the ability to wholesale and manage risk transference in the most efficient manner.”</w:t>
      </w:r>
      <w:r>
        <w:rPr>
          <w:rStyle w:val="EndnoteCharacters"/>
          <w:rStyle w:val="EndnoteReference"/>
        </w:rPr>
        <w:endnoteReference w:id="3"/>
      </w:r>
      <w:r>
        <w:rPr/>
        <w:t xml:space="preserve">  In the company’s 1992 annual report and in other promotional literature, MGRM’s management stated: “crude oil is now subject to dramatic price fluctuations that affect producers, refiners, and end users. But futures and options markets provide tools that enable seasoned market participants to manage those price risks and to benefit from significant business opportunities that risk and volatility make possible.”</w:t>
      </w:r>
    </w:p>
    <w:p>
      <w:pPr>
        <w:pStyle w:val="Normal"/>
        <w:jc w:val="both"/>
        <w:rPr/>
      </w:pPr>
      <w:r>
        <w:rPr/>
      </w:r>
    </w:p>
    <w:p>
      <w:pPr>
        <w:pStyle w:val="BodyText"/>
        <w:rPr/>
      </w:pPr>
      <w:r>
        <w:rPr/>
        <w:t>To implement its marketing strategy, MGRM developed a series of contracts for long-term customers whereby MGRM committed to deliver petroleum products at fixed prices over a period of up to 10 years (almost 89 percent of the contracts had a term of 10 years at contract inception).  These contracts were highly successful – by December 1993, the company had sold forward approximately 160 million barrels of petroleum.</w:t>
      </w:r>
    </w:p>
    <w:p>
      <w:pPr>
        <w:pStyle w:val="Heading3"/>
        <w:ind w:hanging="0" w:start="0"/>
        <w:jc w:val="both"/>
        <w:rPr/>
      </w:pPr>
      <w:r>
        <w:rPr/>
        <w:t>Structure of the deals</w:t>
      </w:r>
    </w:p>
    <w:p>
      <w:pPr>
        <w:pStyle w:val="Normal"/>
        <w:jc w:val="both"/>
        <w:rPr/>
      </w:pPr>
      <w:r>
        <w:rPr/>
        <w:t xml:space="preserve">The marketing program included several novel contracts, two of which were especially relevant to this case.  The main one was a “firm-fixed” program (approximately 63 percent of the total contract volume), under which a customer agreed to fixed monthly deliveries at fixed prices for as much as five to ten years in the future.  The second and smaller one, known as the “firm-flexible” contract, also specified a fixed price and total volume of future deliveries but gave the customer some flexibility to set the delivery schedule.  Under the second program, a customer could request 20 percent of its contracted volume for any one year with 45 days notice.  Any undelivered portion of the total volume would be delivered at the end of the contract’s term.  </w:t>
      </w:r>
    </w:p>
    <w:p>
      <w:pPr>
        <w:pStyle w:val="Normal"/>
        <w:jc w:val="both"/>
        <w:rPr/>
      </w:pPr>
      <w:r>
        <w:rPr/>
      </w:r>
    </w:p>
    <w:p>
      <w:pPr>
        <w:pStyle w:val="Normal"/>
        <w:jc w:val="both"/>
        <w:rPr/>
      </w:pPr>
      <w:r>
        <w:rPr/>
        <w:t>Both types of programs included options for early termination. These cash-out provisions permitted customers to call for cash on the full volume of outstanding deliveries if market prices for oil rose above the contracted price.  The firm-fixed contract permitted a customer to receive one-half the difference between the price of the futures contract closest to expiration and the contracted delivery price, multiplied by the entire remaining quantity of schedules deliveries.  The firm-flexible contract permitted a customer to receive the full difference between the second-nearest futures price and the contract price, multiplied by all remaining deliverable quantities.</w:t>
      </w:r>
    </w:p>
    <w:p>
      <w:pPr>
        <w:pStyle w:val="Normal"/>
        <w:jc w:val="both"/>
        <w:rPr/>
      </w:pPr>
      <w:r>
        <w:rPr/>
      </w:r>
    </w:p>
    <w:p>
      <w:pPr>
        <w:pStyle w:val="Normal"/>
        <w:jc w:val="both"/>
        <w:rPr/>
      </w:pPr>
      <w:r>
        <w:rPr/>
        <w:t>Most of the contracts were negotiated in summer of 1993, reflecting a $3 to $5 premium over the prevailing spot price of oil. Prices at the time were relatively low compared to historical data and were in a falling dynamic. The following table is a summary of MGRM’s long-term fixed-supply contracts:</w:t>
      </w:r>
    </w:p>
    <w:p>
      <w:pPr>
        <w:pStyle w:val="Normal"/>
        <w:rPr>
          <w:i/>
          <w:i/>
          <w:iCs/>
        </w:rPr>
      </w:pPr>
      <w:r>
        <w:rPr>
          <w:i/>
          <w:iCs/>
        </w:rPr>
        <w:t>Table 1:</w:t>
      </w:r>
    </w:p>
    <w:p>
      <w:pPr>
        <w:pStyle w:val="Normal"/>
        <w:rPr>
          <w:i/>
          <w:i/>
          <w:iCs/>
        </w:rPr>
      </w:pPr>
      <w:r>
        <w:rPr>
          <w:i/>
          <w:iCs/>
        </w:rPr>
        <w:drawing>
          <wp:anchor behindDoc="1" distT="0" distB="0" distL="114935" distR="114935" simplePos="0" locked="0" layoutInCell="0" allowOverlap="1" relativeHeight="2">
            <wp:simplePos x="0" y="0"/>
            <wp:positionH relativeFrom="column">
              <wp:align>center</wp:align>
            </wp:positionH>
            <wp:positionV relativeFrom="paragraph">
              <wp:posOffset>635</wp:posOffset>
            </wp:positionV>
            <wp:extent cx="4742815" cy="3980815"/>
            <wp:effectExtent l="0" t="0" r="0" b="0"/>
            <wp:wrapTight wrapText="bothSides">
              <wp:wrapPolygon edited="0">
                <wp:start x="-43" y="0"/>
                <wp:lineTo x="-43" y="21236"/>
                <wp:lineTo x="1473" y="21443"/>
                <wp:lineTo x="5159" y="21443"/>
                <wp:lineTo x="12186" y="21443"/>
                <wp:lineTo x="13791" y="21443"/>
                <wp:lineTo x="21600" y="20823"/>
                <wp:lineTo x="21600" y="0"/>
                <wp:lineTo x="-43" y="0"/>
              </wp:wrapPolygon>
            </wp:wrapTigh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9" r="-8" b="-9"/>
                    <a:stretch>
                      <a:fillRect/>
                    </a:stretch>
                  </pic:blipFill>
                  <pic:spPr bwMode="auto">
                    <a:xfrm>
                      <a:off x="0" y="0"/>
                      <a:ext cx="4742815" cy="398081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rPr/>
      </w:pPr>
      <w:r>
        <w:rPr/>
        <w:t xml:space="preserve">This short exposure to oil prices left MGRM exposed to massive losses if energy prices increased significantly over the life of the contracts. </w:t>
      </w:r>
    </w:p>
    <w:p>
      <w:pPr>
        <w:pStyle w:val="Heading2"/>
        <w:ind w:hanging="0" w:start="0"/>
        <w:jc w:val="both"/>
        <w:rPr/>
      </w:pPr>
      <w:r>
        <w:rPr/>
        <w:t>Analysis of the hedging strategy</w:t>
      </w:r>
    </w:p>
    <w:p>
      <w:pPr>
        <w:pStyle w:val="Normal"/>
        <w:jc w:val="both"/>
        <w:rPr/>
      </w:pPr>
      <w:r>
        <w:rPr/>
      </w:r>
    </w:p>
    <w:p>
      <w:pPr>
        <w:pStyle w:val="BodyText"/>
        <w:rPr/>
      </w:pPr>
      <w:r>
        <w:rPr/>
        <w:t>To hedge its significant exposure to oil prices (moving upward), MGRM decided to buy oil futures contracts through the New York Mercantile Exchange (NYMEX), and other derivative instruments from the over-the-counter (OTC) market.  The firm’s hedging strategy was dictated in part by the fact that there wasn’t an active market for long-dated futures contracts and MGRM’s credit rating was low enough for companies to be wary of entering into long-term arrangements with the firm.</w:t>
      </w:r>
    </w:p>
    <w:p>
      <w:pPr>
        <w:pStyle w:val="Heading3"/>
        <w:ind w:hanging="0" w:start="0"/>
        <w:jc w:val="both"/>
        <w:rPr/>
      </w:pPr>
      <w:r>
        <w:rPr/>
        <w:t>Structure of the deals</w:t>
      </w:r>
    </w:p>
    <w:p>
      <w:pPr>
        <w:pStyle w:val="Normal"/>
        <w:jc w:val="both"/>
        <w:rPr/>
      </w:pPr>
      <w:r>
        <w:rPr/>
        <w:t xml:space="preserve">MGRM purchased short-dated futures contracts on NYMEX, the largest U.S. energy market.  MGRM also purchased OTC derivatives like forward contracts and entered into swap arrangements with other parties.  The total underlying volume was equal to the total commitments, making it a so-called one-to-one stacked hedge.  When the futures contracts approached maturity, they were “rolled over” into new positions by selling the maturing futures contracts and purchasing a new set of nearby futures contracts.  As deliveries were made on the long–term supply contracts, the futures positions were commensurately reduced.  For example, since MGRM had contracted to sell 160 million barrels of oil forward, it would buy short-term futures on a variety of contract months (perhaps 3-months, 6-months, etc) equivalent to 160 million barrels.  Just before expiration MGRM would sell the 160 million barrels worth of short-term futures and then “roll” them into new 3-month contracts in an amount equivalent to 160 million barrels, minus the required delivery amount for that particular month; hence the term “stack-and-roll” strategy.  Thus, the size of the new position of short-dated contracts would gradually be reduced over the 10-year time frame of agreements with customers.  </w:t>
      </w:r>
    </w:p>
    <w:p>
      <w:pPr>
        <w:pStyle w:val="Heading3"/>
        <w:ind w:hanging="0" w:start="0"/>
        <w:jc w:val="both"/>
        <w:rPr/>
      </w:pPr>
      <w:r>
        <w:rPr/>
        <w:t>Market Risk (Risk to change in price of underlying)</w:t>
      </w:r>
    </w:p>
    <w:p>
      <w:pPr>
        <w:pStyle w:val="BodyText"/>
        <w:rPr/>
      </w:pPr>
      <w:r>
        <w:rPr/>
        <w:t xml:space="preserve">Supporters of MGRM’s hedging strategy (Culp and Miller, Bollen and Whaley) argue that MGRM’s stack-and-roll hedging policy successfully insulated the fixed price contracts from upward movement of spot prices.  Had oil prices risen, the accompanying gain in the value of MGRM’s hedge would have produced positive cash flows to offset losses stemming from its commitments to deliver oil at below-market prices and vice versa.  However, this “perfect hedge” would only work as long as the basis between the short-term futures and the spot remained constant.  This scenario did not materialize and rollover losses surged.  In addition, MGRM’s position entailed a mismatch between the offsetting cash flows derived from the long-term supply contracts and the hedging short-term futures, which in case of low oil prices would mean stressful negative cash flows at the beginning of the term.  Thus, while MGRM had long-term contracts that were “matched” by the short-term futures in magnitude, MGRM was not being compensated for any increase in the value of the long-term contracts.   However, MGRM </w:t>
      </w:r>
      <w:r>
        <w:rPr>
          <w:b/>
          <w:bCs/>
        </w:rPr>
        <w:t>was</w:t>
      </w:r>
      <w:r>
        <w:rPr/>
        <w:t xml:space="preserve"> being required to fund/realize the change in prices (losses) of the short-term futures as they matured every month forcing the company to realize the immediate impact of negative cash flows.  </w:t>
      </w:r>
    </w:p>
    <w:p>
      <w:pPr>
        <w:pStyle w:val="Normal"/>
        <w:rPr/>
      </w:pPr>
      <w:r>
        <w:rPr/>
      </w:r>
    </w:p>
    <w:p>
      <w:pPr>
        <w:pStyle w:val="Normal"/>
        <w:jc w:val="both"/>
        <w:rPr/>
      </w:pPr>
      <w:r>
        <w:rPr/>
        <w:t>Along with Mello and Parson (1995), Edwards and Canter (1995) argue that MGRM was over-hedged because short-term oil futures prices tend to be much more volatile than prices on long-term forward contracts.  According to these authors, MGRM’s managers could have – and should have – designed a hedge that would have reduced the variability of the firm’s short-term cash flows.  Edward and Canter find that the correlation of short-term energy futures and forward prices with long-term prices is approximately 50 percent.  Therefore, they argue that MGRM could have minimized the variance of its cash flows with a hedge approximately 50 percent smaller than the total of its future delivery commitments.   They argue that the hedging strategy was speculative in design and intent, betting on backwardation.</w:t>
      </w:r>
    </w:p>
    <w:p>
      <w:pPr>
        <w:pStyle w:val="Normal"/>
        <w:jc w:val="both"/>
        <w:rPr/>
      </w:pPr>
      <w:r>
        <w:rPr/>
      </w:r>
    </w:p>
    <w:p>
      <w:pPr>
        <w:pStyle w:val="Normal"/>
        <w:jc w:val="both"/>
        <w:rPr/>
      </w:pPr>
      <w:r>
        <w:rPr/>
        <w:t>However, in 1998, Bollen and Whaley proved that variance-minimization is not always optimal and that the one-to-one hedge used by MGRM was a viable marketing/hedging strategy almost always profitable if it had been kept in place.  Also they showed how there were very high probabilities that the firm’s cash balance would drop below $1 billion, especially during the first year of the program, concluding that a high commitment of capital should have been expected.  Why MGRM management had not done similar simulations to assess expected risk exposure is still uncertain.  Considering the high probability that a large capital commitment would be required early in the strategy, it could be argued that if MGRM was indeed unable to handle the probably short-term cash drain, then they effectively had a hedge position destined to fail from the beginning.  Undoubtedly they would have been able to adjust to the early negative cash flows if they had expected it and planned accordingly.  Unfortunately the event came as a big surprise and caught them unprepared.</w:t>
      </w:r>
    </w:p>
    <w:p>
      <w:pPr>
        <w:pStyle w:val="Heading3"/>
        <w:ind w:hanging="0" w:start="0"/>
        <w:jc w:val="both"/>
        <w:rPr/>
      </w:pPr>
      <w:r>
        <w:rPr/>
        <w:t>Funding risk: Short vs. long-term contracts (cash flow mismatch)</w:t>
      </w:r>
    </w:p>
    <w:p>
      <w:pPr>
        <w:pStyle w:val="Normal"/>
        <w:jc w:val="both"/>
        <w:rPr/>
      </w:pPr>
      <w:r>
        <w:rPr/>
        <w:t xml:space="preserve">As it happened, spot oil prices continued to fall in November of 1993, when OPEC decided not to cut production.  The price of West Texas Intermediate (WTI), the U.S. benchmark crude oil, fell some $5 to below $14.50 a barrel, while the long-term prices remained quite stable.  The steep drop in the spot price wiped out about 20% of the value of MGRM’s short-term futures contracts.  As these futures and swaps contracts expired, the firm was forced to recognize the losses immediately and make cash payments for variation margin calls on the losing futures leg and to meet collateral requirements on the futures-equivalent swaps.  Conversely, the gains on the long-term forwards commitments were deferred, which created a significant cash flow pressure on the firm.  </w:t>
      </w:r>
    </w:p>
    <w:p>
      <w:pPr>
        <w:pStyle w:val="Normal"/>
        <w:jc w:val="both"/>
        <w:rPr/>
      </w:pPr>
      <w:r>
        <w:rPr/>
      </w:r>
    </w:p>
    <w:p>
      <w:pPr>
        <w:pStyle w:val="Normal"/>
        <w:jc w:val="both"/>
        <w:rPr/>
      </w:pPr>
      <w:r>
        <w:rPr>
          <w:i/>
          <w:iCs/>
        </w:rPr>
        <w:t>Table 2:</w:t>
      </w:r>
      <w:r>
        <w:rPr/>
        <w:t xml:space="preserve"> Spot and Future Oil Prices in 1993 that drove MGRM’s crisis.</w:t>
      </w:r>
    </w:p>
    <w:p>
      <w:pPr>
        <w:pStyle w:val="Normal"/>
        <w:jc w:val="both"/>
        <w:rPr/>
      </w:pPr>
      <w:r>
        <w:rPr/>
      </w:r>
    </w:p>
    <w:tbl>
      <w:tblPr>
        <w:tblW w:w="7200" w:type="dxa"/>
        <w:jc w:val="start"/>
        <w:tblInd w:w="108" w:type="dxa"/>
        <w:tblLayout w:type="fixed"/>
        <w:tblCellMar>
          <w:top w:w="0" w:type="dxa"/>
          <w:start w:w="108" w:type="dxa"/>
          <w:bottom w:w="0" w:type="dxa"/>
          <w:end w:w="108" w:type="dxa"/>
        </w:tblCellMar>
      </w:tblPr>
      <w:tblGrid>
        <w:gridCol w:w="2520"/>
        <w:gridCol w:w="2340"/>
        <w:gridCol w:w="2340"/>
      </w:tblGrid>
      <w:tr>
        <w:trPr/>
        <w:tc>
          <w:tcPr>
            <w:tcW w:w="2520" w:type="dxa"/>
            <w:tcBorders>
              <w:top w:val="single" w:sz="4" w:space="0" w:color="000000"/>
              <w:start w:val="single" w:sz="4" w:space="0" w:color="000000"/>
              <w:bottom w:val="single" w:sz="4" w:space="0" w:color="000000"/>
              <w:end w:val="single" w:sz="4" w:space="0" w:color="000000"/>
            </w:tcBorders>
          </w:tcPr>
          <w:p>
            <w:pPr>
              <w:pStyle w:val="Heading5"/>
              <w:ind w:hanging="0" w:start="0"/>
              <w:rPr/>
            </w:pPr>
            <w:r>
              <w:rPr/>
              <w:t>Month Price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Spot Price</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Futures Price</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January 1993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$19.30</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$19.10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March 1993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$19.25</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$19.00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June 1993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$19.16</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pPr>
            <w:r>
              <w:rPr/>
              <w:t>$18.50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September 1993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$14.20</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$18.60</w:t>
            </w:r>
          </w:p>
        </w:tc>
      </w:tr>
      <w:tr>
        <w:trPr/>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pPr>
            <w:r>
              <w:rPr/>
              <w:t>December 1993</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$14.50</w:t>
            </w:r>
          </w:p>
        </w:tc>
        <w:tc>
          <w:tcPr>
            <w:tcW w:w="234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$18.50</w:t>
            </w:r>
          </w:p>
        </w:tc>
      </w:tr>
    </w:tbl>
    <w:p>
      <w:pPr>
        <w:pStyle w:val="Normal"/>
        <w:jc w:val="both"/>
        <w:rPr/>
      </w:pPr>
      <w:r>
        <w:rPr/>
      </w:r>
    </w:p>
    <w:p>
      <w:pPr>
        <w:pStyle w:val="Heading2"/>
        <w:ind w:hanging="0" w:start="0"/>
        <w:jc w:val="both"/>
        <w:rPr/>
      </w:pPr>
      <w:r>
        <w:rPr/>
        <w:t>Basis Risk: Move from Backwardation to Contango</w:t>
      </w:r>
    </w:p>
    <w:p>
      <w:pPr>
        <w:pStyle w:val="Normal"/>
        <w:jc w:val="both"/>
        <w:rPr/>
      </w:pPr>
      <w:r>
        <w:rPr/>
      </w:r>
    </w:p>
    <w:p>
      <w:pPr>
        <w:pStyle w:val="BodyText"/>
        <w:rPr/>
      </w:pPr>
      <w:r>
        <w:rPr/>
        <w:t xml:space="preserve">In Table 2, notice the nearly $5 drop in spot prices during September and December.  However, note there was relatively little change in the futures prices over the same time period.  When the prices of near-term futures contracts fell by more than the price for deferred deliveries, the strategy imposed significant “rollover costs” on the firm. </w:t>
      </w:r>
    </w:p>
    <w:p>
      <w:pPr>
        <w:pStyle w:val="Normal"/>
        <w:jc w:val="both"/>
        <w:rPr/>
      </w:pPr>
      <w:r>
        <w:rPr/>
      </w:r>
    </w:p>
    <w:p>
      <w:pPr>
        <w:pStyle w:val="Normal"/>
        <w:jc w:val="both"/>
        <w:rPr/>
      </w:pPr>
      <w:r>
        <w:rPr/>
        <w:t>A stack-and-roll hedging strategy appeared to offer a means of avoiding the carrying costs that longer maturity forwards would include in their pricing because short-dated futures markets for oil products historically have tended to exhibit backwardation.  To illustrate, think about the typical term structure of assets.  For assets with positive carrying costs (e.g. energy commodities), the cost-of-carry relation results in a term structure of forward prices that is upward sloping.  This is said to be in contango  (</w:t>
      </w:r>
      <w:r>
        <w:rPr>
          <w:i/>
          <w:iCs/>
        </w:rPr>
        <w:t>Forward price = Spot price + Cost of carry</w:t>
      </w:r>
      <w:r>
        <w:rPr/>
        <w:t xml:space="preserve">).  This makes sense because if costs are incurred to hold/store the commodity (cost of funds tied up as well as storage facility costs), then the forward prices should reflect this.  However, if firms place a premium on current availability, as they sometimes do when available supplies of the commodity are scarce, then futures prices can fail to reflect the commodities full cost of carry.  This is indeed the historical case for short-dated forward/futures contracts.  When this scenario occurs and the term structure is reversed, spot prices are greater than forward prices causing what is referred to as backwardation.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20"/>
          <w:lang w:val="en-CA" w:eastAsia="en-CA"/>
        </w:rPr>
      </w:pPr>
      <w:r>
        <w:rPr>
          <w:sz w:val="20"/>
          <w:lang w:val="en-CA" w:eastAsia="en-CA"/>
        </w:rPr>
        <w:drawing>
          <wp:anchor behindDoc="0" distT="0" distB="0" distL="114935" distR="114935" simplePos="0" locked="0" layoutInCell="0" allowOverlap="1" relativeHeight="3">
            <wp:simplePos x="0" y="0"/>
            <wp:positionH relativeFrom="column">
              <wp:posOffset>1018540</wp:posOffset>
            </wp:positionH>
            <wp:positionV relativeFrom="paragraph">
              <wp:posOffset>635</wp:posOffset>
            </wp:positionV>
            <wp:extent cx="3905885" cy="2115185"/>
            <wp:effectExtent l="0" t="0" r="0" b="0"/>
            <wp:wrapTight wrapText="bothSides">
              <wp:wrapPolygon edited="0">
                <wp:start x="155" y="483"/>
                <wp:lineTo x="155" y="21012"/>
                <wp:lineTo x="21334" y="21012"/>
                <wp:lineTo x="21334" y="483"/>
                <wp:lineTo x="155" y="483"/>
              </wp:wrapPolygon>
            </wp:wrapTigh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9" t="-17" r="-9" b="-17"/>
                    <a:stretch>
                      <a:fillRect/>
                    </a:stretch>
                  </pic:blipFill>
                  <pic:spPr bwMode="auto">
                    <a:xfrm>
                      <a:off x="0" y="0"/>
                      <a:ext cx="3905885" cy="2115185"/>
                    </a:xfrm>
                    <a:prstGeom prst="rect">
                      <a:avLst/>
                    </a:prstGeom>
                    <a:noFill/>
                  </pic:spPr>
                </pic:pic>
              </a:graphicData>
            </a:graphic>
          </wp:anchor>
        </w:drawing>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lang w:val="en-CA" w:eastAsia="en-CA"/>
        </w:rPr>
      </w:pPr>
      <w:r>
        <w:rPr>
          <w:i/>
          <w:iCs/>
          <w:sz w:val="20"/>
          <w:lang w:val="en-CA" w:eastAsia="en-CA"/>
        </w:rPr>
        <w:drawing>
          <wp:anchor behindDoc="0" distT="0" distB="0" distL="114935" distR="114935" simplePos="0" locked="0" layoutInCell="0" allowOverlap="1" relativeHeight="4">
            <wp:simplePos x="0" y="0"/>
            <wp:positionH relativeFrom="column">
              <wp:posOffset>1028700</wp:posOffset>
            </wp:positionH>
            <wp:positionV relativeFrom="paragraph">
              <wp:posOffset>65405</wp:posOffset>
            </wp:positionV>
            <wp:extent cx="3905885" cy="2172335"/>
            <wp:effectExtent l="0" t="0" r="0" b="0"/>
            <wp:wrapTight wrapText="bothSides">
              <wp:wrapPolygon edited="0">
                <wp:start x="155" y="470"/>
                <wp:lineTo x="155" y="21029"/>
                <wp:lineTo x="21334" y="21029"/>
                <wp:lineTo x="21334" y="470"/>
                <wp:lineTo x="155" y="470"/>
              </wp:wrapPolygon>
            </wp:wrapTight>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9" t="-17" r="-9" b="-17"/>
                    <a:stretch>
                      <a:fillRect/>
                    </a:stretch>
                  </pic:blipFill>
                  <pic:spPr bwMode="auto">
                    <a:xfrm>
                      <a:off x="0" y="0"/>
                      <a:ext cx="3905885" cy="2172335"/>
                    </a:xfrm>
                    <a:prstGeom prst="rect">
                      <a:avLst/>
                    </a:prstGeom>
                    <a:noFill/>
                  </pic:spPr>
                </pic:pic>
              </a:graphicData>
            </a:graphic>
          </wp:anchor>
        </w:drawing>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16"/>
          <w:lang w:val="en-CA" w:eastAsia="en-CA"/>
        </w:rPr>
      </w:pPr>
      <w:r>
        <w:rPr>
          <w:i/>
          <w:iCs/>
          <w:sz w:val="16"/>
          <w:lang w:val="en-CA" w:eastAsia="en-CA"/>
        </w:rPr>
        <w:drawing>
          <wp:anchor behindDoc="0" distT="0" distB="0" distL="114935" distR="114935" simplePos="0" locked="0" layoutInCell="0" allowOverlap="1" relativeHeight="5">
            <wp:simplePos x="0" y="0"/>
            <wp:positionH relativeFrom="column">
              <wp:posOffset>1018540</wp:posOffset>
            </wp:positionH>
            <wp:positionV relativeFrom="paragraph">
              <wp:posOffset>130175</wp:posOffset>
            </wp:positionV>
            <wp:extent cx="3905885" cy="2124075"/>
            <wp:effectExtent l="0" t="0" r="0" b="0"/>
            <wp:wrapTight wrapText="bothSides">
              <wp:wrapPolygon edited="0">
                <wp:start x="155" y="481"/>
                <wp:lineTo x="155" y="21014"/>
                <wp:lineTo x="21334" y="21014"/>
                <wp:lineTo x="21334" y="481"/>
                <wp:lineTo x="155" y="481"/>
              </wp:wrapPolygon>
            </wp:wrapTight>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9" t="-17" r="-9" b="-17"/>
                    <a:stretch>
                      <a:fillRect/>
                    </a:stretch>
                  </pic:blipFill>
                  <pic:spPr bwMode="auto">
                    <a:xfrm>
                      <a:off x="0" y="0"/>
                      <a:ext cx="3905885" cy="2124075"/>
                    </a:xfrm>
                    <a:prstGeom prst="rect">
                      <a:avLst/>
                    </a:prstGeom>
                    <a:noFill/>
                  </pic:spPr>
                </pic:pic>
              </a:graphicData>
            </a:graphic>
          </wp:anchor>
        </w:drawing>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r>
    </w:p>
    <w:p>
      <w:pPr>
        <w:pStyle w:val="Normal"/>
        <w:tabs>
          <w:tab w:val="clear" w:pos="720"/>
          <w:tab w:val="left" w:pos="1440" w:leader="none"/>
          <w:tab w:val="left" w:pos="7920" w:leader="none"/>
        </w:tabs>
        <w:jc w:val="center"/>
        <w:rPr>
          <w:i/>
          <w:i/>
          <w:iCs/>
          <w:sz w:val="20"/>
        </w:rPr>
      </w:pPr>
      <w:r>
        <w:rPr>
          <w:i/>
          <w:iCs/>
          <w:sz w:val="20"/>
        </w:rPr>
        <w:t>*Source: Derivatives Debacles by A. Kuprianov</w:t>
      </w:r>
    </w:p>
    <w:p>
      <w:pPr>
        <w:pStyle w:val="Normal"/>
        <w:jc w:val="both"/>
        <w:rPr>
          <w:i/>
          <w:i/>
          <w:iCs/>
          <w:sz w:val="20"/>
        </w:rPr>
      </w:pPr>
      <w:r>
        <w:rPr>
          <w:i/>
          <w:iCs/>
          <w:sz w:val="20"/>
        </w:rPr>
      </w:r>
    </w:p>
    <w:p>
      <w:pPr>
        <w:pStyle w:val="Normal"/>
        <w:jc w:val="both"/>
        <w:rPr/>
      </w:pPr>
      <w:r>
        <w:rPr/>
        <w:t xml:space="preserve">In markets that exhibit persistent backwardation, a strategy of rolling over a stack of expiring contracts every month can generate substantial profits. Based on this, MGRM’s management thought that a stack-and-roll hedging strategy offered a cost effective means of locking in a spread between current spot prices and long-term price guarantees that it had sold to its customers.  This strategy, however, exposed the company to basis risk – the risk that the price behavior of its stack of short-dated oil contracts might diverge from that of its long-term forward commitments.  In 1993, energy futures behaved unusually – the short-term energy futures exhibited a pattern of contango rather than backwardation for most of the year. Once that happened, MGRM was forced to pay a premium to roll over each stack of short-term contracts as they expired. Those costs reflected the cost of carry normally associated with physical storage and were positive for most of 1993.  The total rollover loss calculated for the entire year was about $250 million. </w:t>
      </w:r>
    </w:p>
    <w:p>
      <w:pPr>
        <w:pStyle w:val="Heading2"/>
        <w:ind w:hanging="0" w:start="0"/>
        <w:jc w:val="both"/>
        <w:rPr/>
      </w:pPr>
      <w:r>
        <w:rPr/>
        <w:t>Liquidity Risk (Volume of Positions)</w:t>
      </w:r>
    </w:p>
    <w:p>
      <w:pPr>
        <w:pStyle w:val="Normal"/>
        <w:jc w:val="both"/>
        <w:rPr/>
      </w:pPr>
      <w:r>
        <w:rPr/>
      </w:r>
    </w:p>
    <w:p>
      <w:pPr>
        <w:pStyle w:val="Normal"/>
        <w:jc w:val="both"/>
        <w:rPr/>
      </w:pPr>
      <w:r>
        <w:rPr/>
        <w:t xml:space="preserve">Given the large volume of contracts held by MGRM, NYMEX traders were aware that MGRM would have to execute its rollover maneuver each month.  As a result, the traders started trading against the company.  This subsequently increased short-term futures prices and contributed to the transformation from backwardation to contango.  When supporters of MGRM’s strategy state that the rollover losses would have disappeared the following year (during 1994) because of a new backwardated term structure, they fail to analyze what would have happened had MGRM not abandoned its hedging positions and continued rolling large sums while the trading community worked against them. </w:t>
      </w:r>
    </w:p>
    <w:p>
      <w:pPr>
        <w:pStyle w:val="Heading2"/>
        <w:ind w:hanging="0" w:start="0"/>
        <w:jc w:val="both"/>
        <w:rPr/>
      </w:pPr>
      <w:r>
        <w:rPr/>
        <w:t xml:space="preserve">Credit Risk </w:t>
      </w:r>
    </w:p>
    <w:p>
      <w:pPr>
        <w:pStyle w:val="Heading2"/>
        <w:ind w:hanging="0" w:start="0"/>
        <w:jc w:val="both"/>
        <w:rPr>
          <w:u w:val="none"/>
        </w:rPr>
      </w:pPr>
      <w:r>
        <w:rPr>
          <w:u w:val="none"/>
        </w:rPr>
        <w:t xml:space="preserve">In early December, rumors of MGRM’s credit problems spurred the NYMEX to raise the margin requirements for the firm.  NYMEX began to require that MGRM post “super-margin”.  These rumors also led many of MGRM’s OTC counterparties to begin terminating their contracts.  Other counterparties began demanding that MGRM post collateral to secure contract performance.  These actions further complicated and exacerbated MGRM’s cash crunch. </w:t>
      </w:r>
    </w:p>
    <w:p>
      <w:pPr>
        <w:pStyle w:val="Normal"/>
        <w:jc w:val="both"/>
        <w:rPr>
          <w:u w:val="none"/>
        </w:rPr>
      </w:pPr>
      <w:r>
        <w:rPr>
          <w:u w:val="none"/>
        </w:rPr>
      </w:r>
    </w:p>
    <w:p>
      <w:pPr>
        <w:pStyle w:val="Normal"/>
        <w:jc w:val="both"/>
        <w:rPr/>
      </w:pPr>
      <w:r>
        <w:rPr/>
        <w:t>The positions taken by MGRM also included credit risk derived from the possibility that its counterparties would default.  However, the long-term supply contracts with the buyers allowed only 20% of their supply needs to be satisfied through fixed forward prices with the rest having to be obtained from the spot market.  Thus, default due to low oil prices would be unlikely since buyers would still have 80% of their supply at the lower spot prices.</w:t>
      </w:r>
    </w:p>
    <w:p>
      <w:pPr>
        <w:pStyle w:val="Normal"/>
        <w:jc w:val="both"/>
        <w:rPr/>
      </w:pPr>
      <w:r>
        <w:rPr/>
      </w:r>
    </w:p>
    <w:p>
      <w:pPr>
        <w:pStyle w:val="Normal"/>
        <w:jc w:val="both"/>
        <w:rPr/>
      </w:pPr>
      <w:r>
        <w:rPr/>
        <w:t>MGRM’s credit rating also affected the hedging strategy they decided to pursue.  It was such that matching its supply obligations with contracts of the same maturity proved difficult because not many firms made a market in long-dated oil contracts, and those who did preferred not to be exposed to MGRM’s credit risk for long.</w:t>
      </w:r>
    </w:p>
    <w:p>
      <w:pPr>
        <w:pStyle w:val="Heading2"/>
        <w:ind w:hanging="0" w:start="0"/>
        <w:jc w:val="both"/>
        <w:rPr/>
      </w:pPr>
      <w:r>
        <w:rPr/>
        <w:t xml:space="preserve">Operational Risk from the Accounting Process: German Hedge Accounting </w:t>
      </w:r>
    </w:p>
    <w:p>
      <w:pPr>
        <w:pStyle w:val="Normal"/>
        <w:jc w:val="both"/>
        <w:rPr/>
      </w:pPr>
      <w:r>
        <w:rPr/>
      </w:r>
    </w:p>
    <w:p>
      <w:pPr>
        <w:pStyle w:val="Normal"/>
        <w:jc w:val="both"/>
        <w:rPr/>
      </w:pPr>
      <w:r>
        <w:rPr/>
        <w:t>Arthur Andersen audited the Metallgesellschaft Group and its affiliates through Sept 30, 1993 and showed a $61 million profit under U.S. GAAP rules.  Meanwhile, KPMG audited the firm under German accounting rules and showed an accounting loss of $291 million.  The weak German financial results contributed to the rumors of weak credit mentioned in the previous section and caused panic, which aggravated MGRM’s funding problem.</w:t>
      </w:r>
    </w:p>
    <w:p>
      <w:pPr>
        <w:pStyle w:val="Normal"/>
        <w:jc w:val="both"/>
        <w:rPr/>
      </w:pPr>
      <w:r>
        <w:rPr/>
      </w:r>
    </w:p>
    <w:p>
      <w:pPr>
        <w:pStyle w:val="Normal"/>
        <w:jc w:val="both"/>
        <w:rPr/>
      </w:pPr>
      <w:r>
        <w:rPr/>
        <w:t>German accounting standards require that assets be valued at the lower of cost or market.  Based on this method of valuation, the hedge transaction that is making money will be valued at cost (thereby deferring the gain) and the hedge transaction that is losing money is valued at its lower market value which would result in a loss.  U.S. GAAP, on the other hand, recognizes that a hedge transaction can be linked to an obligation that the company currently has and as such allows the firm to account for the transaction using either mark-to-market accounting or deferral accounting.  Thus, under GAAP, both the profitable and the unprofitable sides of the hedging transaction can be valued under deferral accounting or can be marked-to-market.  Based on these differences between the two accounting standards, it is possible for German accounting losses to be far greater than U.S. losses for certain hedge transactions.</w:t>
      </w:r>
    </w:p>
    <w:p>
      <w:pPr>
        <w:pStyle w:val="Heading2"/>
        <w:ind w:hanging="0" w:start="0"/>
        <w:jc w:val="both"/>
        <w:rPr/>
      </w:pPr>
      <w:r>
        <w:rPr/>
        <w:t>Operational Risk: Management Decisions</w:t>
      </w:r>
    </w:p>
    <w:p>
      <w:pPr>
        <w:pStyle w:val="Normal"/>
        <w:jc w:val="both"/>
        <w:rPr/>
      </w:pPr>
      <w:r>
        <w:rPr/>
      </w:r>
    </w:p>
    <w:p>
      <w:pPr>
        <w:pStyle w:val="Normal"/>
        <w:jc w:val="both"/>
        <w:rPr/>
      </w:pPr>
      <w:r>
        <w:rPr/>
        <w:t>Upon learning of the negative cash flows generated by the margin calls, the rollover losses, and the new demands from NYMEX and OTC counterparties, MGRM’s board of supervisors fired the firm’s chief executive and installed new management.  The board instructed the new management to begin liquidating MGRM’s hedge and entered into negotiations to cancel its long-term contracts with its customers.  This action further complicated matters, because NYMEX withdrew its hedging exemption once MGRM announced the end of its hedging program.  The loss of this hedging exemption forced MGRM to reduce its positions in energy futures still further.</w:t>
      </w:r>
    </w:p>
    <w:p>
      <w:pPr>
        <w:pStyle w:val="Normal"/>
        <w:jc w:val="both"/>
        <w:rPr/>
      </w:pPr>
      <w:r>
        <w:rPr/>
      </w:r>
    </w:p>
    <w:p>
      <w:pPr>
        <w:pStyle w:val="Normal"/>
        <w:jc w:val="both"/>
        <w:rPr/>
      </w:pPr>
      <w:r>
        <w:rPr/>
        <w:t xml:space="preserve">The actions of MGRM’s board of supervisors in this incident have created widespread debate and criticism and spawned several lawsuits. Many analysts argue that MGRM’s board exacerbated any hedging-related losses by terminating the program prematurely.  There seems to be widespread agreement that the way MGRM’s new management unfolded their positions was flawed and contributed to the huge losses posted. </w:t>
      </w:r>
    </w:p>
    <w:p>
      <w:pPr>
        <w:pStyle w:val="Normal"/>
        <w:jc w:val="both"/>
        <w:rPr/>
      </w:pPr>
      <w:r>
        <w:rPr/>
      </w:r>
    </w:p>
    <w:p>
      <w:pPr>
        <w:pStyle w:val="Normal"/>
        <w:jc w:val="both"/>
        <w:rPr/>
      </w:pPr>
      <w:r>
        <w:rPr/>
        <w:t>Culp and Miller argue that the value of the unrealized gains on the long-term contracts results in net loss of $170 million rather than $1.3 billion.  According to this analysis, most of the losses account for the value lost when the new management agreed to terminate its contracts with its customers without requiring any payment to reflect the change in value of the contracts.   In the next section, we will analyze the board’s decisions in greater detail.</w:t>
      </w:r>
    </w:p>
    <w:p>
      <w:pPr>
        <w:pStyle w:val="Heading2"/>
        <w:ind w:hanging="0" w:start="0"/>
        <w:jc w:val="both"/>
        <w:rPr/>
      </w:pPr>
      <w:r>
        <w:rPr/>
        <w:t xml:space="preserve">Alternatives to MGRM’s Hedge </w:t>
      </w:r>
    </w:p>
    <w:p>
      <w:pPr>
        <w:pStyle w:val="Normal"/>
        <w:rPr/>
      </w:pPr>
      <w:r>
        <w:rPr/>
      </w:r>
    </w:p>
    <w:p>
      <w:pPr>
        <w:pStyle w:val="Normal"/>
        <w:jc w:val="both"/>
        <w:rPr/>
      </w:pPr>
      <w:r>
        <w:rPr/>
        <w:t>The hedging strategy based on long-term forward contracts can be almost as expensive as physical storage, even when short-term futures and forward prices exhibit backwardation.  When it exists, backwardation in commodity markets tends to be evident only in short-term futures and forward prices.  Carrying costs increase with time to delivery so that longer-term futures or forward contracts typically sell at a premium when prices for short-dated contracts exhibit backwardation.  Therefore, while MGRM could have hedged its exposure by buying long-term forward contracts from an OTC derivatives dealer, doing so would have reduced, if not eliminated, any profits from its marketing program.</w:t>
      </w:r>
    </w:p>
    <w:p>
      <w:pPr>
        <w:pStyle w:val="Normal"/>
        <w:jc w:val="both"/>
        <w:rPr/>
      </w:pPr>
      <w:r>
        <w:rPr/>
      </w:r>
    </w:p>
    <w:p>
      <w:pPr>
        <w:pStyle w:val="Normal"/>
        <w:jc w:val="both"/>
        <w:rPr/>
      </w:pPr>
      <w:r>
        <w:rPr/>
        <w:t>Bollen and Whaley discuss alternatives to MGRM’s “fixed hedge ratio” strategy.  One of the main alternatives they discuss is using “maturity-specific hedge ratios.”  This strategy would require MGRM to form a “tailed” hedge whereby they would only hedge the present value of its fixed-price commitment.  “Tailing” the hedge implies that for a given supply contract, the appropriate hedge ratio grows over time as the contract nears maturity, and is effectively equivalent to the stacked hedge (one-to-one) for short-dated commitments.</w:t>
      </w:r>
      <w:r>
        <w:br w:type="page"/>
      </w:r>
    </w:p>
    <w:p>
      <w:pPr>
        <w:pStyle w:val="Heading1"/>
        <w:ind w:hanging="0" w:start="0"/>
        <w:jc w:val="both"/>
        <w:rPr/>
      </w:pPr>
      <w:r>
        <w:rPr/>
        <w:t>III. Lessons Learned</w:t>
      </w:r>
    </w:p>
    <w:p>
      <w:pPr>
        <w:pStyle w:val="Heading2"/>
        <w:ind w:hanging="0" w:start="0"/>
        <w:jc w:val="both"/>
        <w:rPr/>
      </w:pPr>
      <w:r>
        <w:rPr/>
        <w:t>Parent Company Bailout</w:t>
      </w:r>
    </w:p>
    <w:p>
      <w:pPr>
        <w:pStyle w:val="Normal"/>
        <w:jc w:val="both"/>
        <w:rPr/>
      </w:pPr>
      <w:r>
        <w:rPr/>
      </w:r>
    </w:p>
    <w:p>
      <w:pPr>
        <w:pStyle w:val="Normal"/>
        <w:jc w:val="both"/>
        <w:rPr/>
      </w:pPr>
      <w:r>
        <w:rPr/>
        <w:t>MGRM’s principal owners and creditors included Deutsche Bank and Dresdner Bank, two of the more prominent banks in Germany and the world.  Deutsche Bank was actually one of MGRM’s largest shareholders and thus had a direct interest in not only its viability, but also its profitability.  Furthermore, a Deutsche Bank executive, Ronaldo Schmitz, was chairman of MGRM’s board of supervisors at the time.  Although these banks have large trading organizations and risk management practices, it appears by all accounts that they were unaware of the hedging strategy, or may not have fully understood the magnitude of the positions that MGRM held.  Likewise, the question remains why, after the situation was revealed, that these banks did not step forward with suitable advice on ways to best retreat from the positions.</w:t>
      </w:r>
      <w:r>
        <w:rPr>
          <w:rStyle w:val="EndnoteCharacters"/>
          <w:rStyle w:val="EndnoteReference"/>
        </w:rPr>
        <w:endnoteReference w:id="4"/>
      </w:r>
    </w:p>
    <w:p>
      <w:pPr>
        <w:pStyle w:val="Normal"/>
        <w:jc w:val="both"/>
        <w:rPr/>
      </w:pPr>
      <w:r>
        <w:rPr/>
      </w:r>
    </w:p>
    <w:p>
      <w:pPr>
        <w:pStyle w:val="Normal"/>
        <w:jc w:val="both"/>
        <w:rPr/>
      </w:pPr>
      <w:r>
        <w:rPr/>
        <w:t>Karl von der Heyden, the CEO of MGRM Corp, the main U.S. unit of the MGRM conglomerate, acknowledged that this debacle took his division and the parent company to the brink of insolvency.  Had the bankers decided to demand payment on their outstanding loans, MGRM would have been forced into bankruptcy proceedings.  At MGRM’s beckoning, the creditors allowed MGRM to regain some stability by not forcing them to meet debt payments.  In January of 1994, a consortium of 120 European banks stepped in to rescue both MGRM and MGRM Corp with a bailout package of almost $2 billion.</w:t>
      </w:r>
    </w:p>
    <w:p>
      <w:pPr>
        <w:pStyle w:val="Heading2"/>
        <w:ind w:hanging="0" w:start="0"/>
        <w:jc w:val="both"/>
        <w:rPr/>
      </w:pPr>
      <w:r>
        <w:rPr/>
        <w:t>Management Miscommunication</w:t>
      </w:r>
    </w:p>
    <w:p>
      <w:pPr>
        <w:pStyle w:val="Heading3"/>
        <w:ind w:hanging="0" w:start="0"/>
        <w:jc w:val="both"/>
        <w:rPr/>
      </w:pPr>
      <w:r>
        <w:rPr/>
        <w:t>Strategic Misalignment</w:t>
      </w:r>
    </w:p>
    <w:p>
      <w:pPr>
        <w:pStyle w:val="Normal"/>
        <w:jc w:val="both"/>
        <w:rPr/>
      </w:pPr>
      <w:r>
        <w:rPr/>
        <w:t>Derivatives have received a lot of bad press in recent years due to the large losses incurred by Metallgesellschaft and others (including Procter &amp; Gamble and Barings Bank).  However, when used properly, derivatives are an incredibly valuable tool in implementing risk management strategies.  David Weinberger, managing director of Swiss Bank Corporation, states that “used properly, derivative instruments don’t create surprises; they help minimize them.  A company’s risk management program should reduce a company’s exposure to the classes of risk it is not in business to take while reshaping its exposure to those that it is.”</w:t>
      </w:r>
      <w:r>
        <w:rPr>
          <w:rStyle w:val="EndnoteCharacters"/>
          <w:rStyle w:val="EndnoteReference"/>
        </w:rPr>
        <w:endnoteReference w:id="5"/>
      </w:r>
      <w:r>
        <w:rPr/>
        <w:t xml:space="preserve">  </w:t>
      </w:r>
    </w:p>
    <w:p>
      <w:pPr>
        <w:pStyle w:val="Normal"/>
        <w:jc w:val="both"/>
        <w:rPr/>
      </w:pPr>
      <w:r>
        <w:rPr/>
      </w:r>
    </w:p>
    <w:p>
      <w:pPr>
        <w:pStyle w:val="Normal"/>
        <w:jc w:val="both"/>
        <w:rPr/>
      </w:pPr>
      <w:r>
        <w:rPr/>
        <w:t>In an earlier section, we outlined the marketing strategy of MGRM in the U.S. and described the activities the firm was authorized to undertake.  Based on the nature of the activities, MGRM’s risk management strategy should have been evaluated and assessed by senior management and/or the Supervisory Board (above Arthur Benson, the person in charge of MGRM in the U.S.) to ensure that the company was not inadvertently exposing itself to new risks while trying to offset existing ones.  Management should have installed limits and controls on the risk management team at MGRM to prevent them from speculating and to minimize the potential for large losses.</w:t>
      </w:r>
    </w:p>
    <w:p>
      <w:pPr>
        <w:pStyle w:val="Normal"/>
        <w:jc w:val="both"/>
        <w:rPr/>
      </w:pPr>
      <w:r>
        <w:rPr/>
      </w:r>
    </w:p>
    <w:p>
      <w:pPr>
        <w:pStyle w:val="Normal"/>
        <w:jc w:val="both"/>
        <w:rPr/>
      </w:pPr>
      <w:r>
        <w:rPr/>
        <w:t>Experts also maintain that risk management activities (or risks to the same underlying exposure) should be aggregated to the firm level as much as possible.  In this way, risks can be netted internally before going to the markets to hedge.  Weinberg also suggests that senior management should be aware that the hedging activities should not yield unexpected profits but instead should adjust exposures to limit losses.  He claims that recent derivatives losses occurred because management lost sight of the real goal of derivatives trading and sought to gain short-term profits at the expense of long-term value.</w:t>
      </w:r>
    </w:p>
    <w:p>
      <w:pPr>
        <w:pStyle w:val="Normal"/>
        <w:jc w:val="both"/>
        <w:rPr/>
      </w:pPr>
      <w:r>
        <w:rPr/>
      </w:r>
    </w:p>
    <w:p>
      <w:pPr>
        <w:pStyle w:val="Normal"/>
        <w:jc w:val="both"/>
        <w:rPr/>
      </w:pPr>
      <w:r>
        <w:rPr/>
        <w:t>Therefore, it is evident that Benson and his risk management team did not take into account the strategic aspects of their hedging activities and senior management failed to put controls in place to ensure that the strategy would be successful, both of which contributed to the unraveling of MGRM’s strategy.</w:t>
      </w:r>
    </w:p>
    <w:p>
      <w:pPr>
        <w:pStyle w:val="Normal"/>
        <w:jc w:val="both"/>
        <w:rPr/>
      </w:pPr>
      <w:r>
        <w:rPr/>
      </w:r>
    </w:p>
    <w:p>
      <w:pPr>
        <w:pStyle w:val="Heading3"/>
        <w:ind w:hanging="0" w:start="0"/>
        <w:jc w:val="both"/>
        <w:rPr/>
      </w:pPr>
      <w:r>
        <w:rPr/>
        <w:t>Parent company ignorance of the issues</w:t>
      </w:r>
    </w:p>
    <w:p>
      <w:pPr>
        <w:pStyle w:val="BodyText"/>
        <w:rPr/>
      </w:pPr>
      <w:r>
        <w:rPr/>
        <w:t>One of the most critical questions to consider when analyzing the Metallgesellschaft debacle is as follows: Did MGRM’s Supervisory Board authorize the hedging (or speculative) activities undertaken by Arthur Benson and his team and did they have any understanding of the team’s strategy employed in the U.S.?</w:t>
      </w:r>
    </w:p>
    <w:p>
      <w:pPr>
        <w:pStyle w:val="Normal"/>
        <w:jc w:val="both"/>
        <w:rPr/>
      </w:pPr>
      <w:r>
        <w:rPr/>
      </w:r>
    </w:p>
    <w:p>
      <w:pPr>
        <w:pStyle w:val="BodyText"/>
        <w:rPr/>
      </w:pPr>
      <w:r>
        <w:rPr/>
        <w:t>From our analysis of this situation and other instances of large losses through derivatives trading, it seems that management remains blissfully unaware of the activities being undertaken until significant losses are incurred.  Arguments have been made that indicate that perhaps Metallgesellschaft’s Supervisory Board was entirely in the dark about the strategy undertaken by Benson.  It could be that they were first alerted to the problem in early December 1993, when large sums of cash were needed to fund the NYMEX margin calls (and “supermargin” calls).</w:t>
      </w:r>
    </w:p>
    <w:p>
      <w:pPr>
        <w:pStyle w:val="Normal"/>
        <w:jc w:val="both"/>
        <w:rPr/>
      </w:pPr>
      <w:r>
        <w:rPr/>
      </w:r>
    </w:p>
    <w:p>
      <w:pPr>
        <w:pStyle w:val="Normal"/>
        <w:jc w:val="both"/>
        <w:rPr/>
      </w:pPr>
      <w:r>
        <w:rPr/>
        <w:t>Another argument, and one that we believe to be more likely, is that the Supervisory Board and supporting banks were aware of the hedging strategy implemented by Benson and his team.  However, they did not have a clear understanding of the complex strategy and therefore, did not implement appropriate operational controls to prevent large losses from occurring.  If the risk management team was actually engaged in speculative activities on oil futures and the controls were not in place to limit such activities, this outcome could be considered predictable and the Supervisory Board is clearly to blame.</w:t>
      </w:r>
    </w:p>
    <w:p>
      <w:pPr>
        <w:pStyle w:val="Normal"/>
        <w:jc w:val="both"/>
        <w:rPr/>
      </w:pPr>
      <w:r>
        <w:rPr/>
      </w:r>
    </w:p>
    <w:p>
      <w:pPr>
        <w:pStyle w:val="Normal"/>
        <w:jc w:val="both"/>
        <w:rPr/>
      </w:pPr>
      <w:r>
        <w:rPr/>
        <w:t>Digenan, Felson, Kelly and Wiemert argue, “Given the fact that this risk management strategy played a key role in acquiring business pursuant to their corporate objectives, management should have obtained an understanding of the strategy.”</w:t>
      </w:r>
      <w:r>
        <w:rPr>
          <w:rStyle w:val="EndnoteCharacters"/>
          <w:rStyle w:val="EndnoteReference"/>
        </w:rPr>
        <w:endnoteReference w:id="6"/>
      </w:r>
      <w:r>
        <w:rPr/>
        <w:t xml:space="preserve"> They claim that Benson was made a scapegoat for MGRM and while he should bear a certain amount of responsibility for his actions, the Supervisory Board should also shoulder some of the blame.  In their case write-up, Digenan, Felson, Kelly and Wiemert assert that the Board pleaded ignorance of Benson’s activities and claimed that despite the large volume of contracts that MGRM had amassed, they were unaware of what had been going on.  Based on this information, two issues arise.  First, if the Board was indeed unaware, they were not fulfilling their fiduciary responsibilities and were negligent.  They could also be considered negligent if they had been informed about the hedging strategy but did not understand what they were being exposed to.   Second, if the Board had been informed about the strategy and also had a clear understanding of what it entailed, they were effectively endorsing Benson’s actions and accepting the risks.</w:t>
      </w:r>
    </w:p>
    <w:p>
      <w:pPr>
        <w:pStyle w:val="Normal"/>
        <w:jc w:val="both"/>
        <w:rPr/>
      </w:pPr>
      <w:r>
        <w:rPr/>
      </w:r>
    </w:p>
    <w:p>
      <w:pPr>
        <w:pStyle w:val="Normal"/>
        <w:jc w:val="both"/>
        <w:rPr/>
      </w:pPr>
      <w:r>
        <w:rPr/>
        <w:t>Therefore, given the miscommunication between Benson and the Supervisory Board about exactly what was going on at MGRM, it is apparent that massive losses could have been avoided.</w:t>
      </w:r>
    </w:p>
    <w:p>
      <w:pPr>
        <w:pStyle w:val="Heading2"/>
        <w:ind w:hanging="0" w:start="0"/>
        <w:jc w:val="both"/>
        <w:rPr/>
      </w:pPr>
      <w:r>
        <w:rPr/>
        <w:t>Exchange regulations</w:t>
      </w:r>
    </w:p>
    <w:p>
      <w:pPr>
        <w:pStyle w:val="Heading3"/>
        <w:ind w:hanging="0" w:start="0"/>
        <w:jc w:val="both"/>
        <w:rPr/>
      </w:pPr>
      <w:r>
        <w:rPr/>
        <w:t>NYMEX</w:t>
      </w:r>
    </w:p>
    <w:p>
      <w:pPr>
        <w:pStyle w:val="Normal"/>
        <w:jc w:val="both"/>
        <w:rPr/>
      </w:pPr>
      <w:r>
        <w:rPr/>
        <w:t>MGRM’s position was so large that it was equivalent to 85 days of the entire production of the country of Kuwait.  The average daily trading volume in heating oil and unleaded gasoline is from 15,000 to 30,000 contracts.  MGRM was holding approximately 55,000 contracts.  This size accounted for such a large percentage of the NYMEX total open interest that liquidation was a big problem.  In addition, the markets had come to know what MGRM was doing and as a result were taking advantage of them.  Aware that MGRM had to rollover its positions each month, traders began working against MGRM, thus contributing still further to the circumstances.</w:t>
      </w:r>
    </w:p>
    <w:p>
      <w:pPr>
        <w:pStyle w:val="Normal"/>
        <w:jc w:val="both"/>
        <w:rPr/>
      </w:pPr>
      <w:r>
        <w:rPr/>
      </w:r>
    </w:p>
    <w:p>
      <w:pPr>
        <w:pStyle w:val="Normal"/>
        <w:jc w:val="both"/>
        <w:rPr/>
      </w:pPr>
      <w:r>
        <w:rPr/>
        <w:t>The NYMEX had given MGRM an exemption to exceed the exchange limits since MGRM’s positions were part of a hedge.  At the time, the limit was 24,000 contracts.  An exemption is not unheard of if a company has significant risks to hedge.  However, once it was rumored that MGRM was in trouble, the exchange imposed increased “supermargin” requirements on MGRM to maintain its positions in an effort to avoid potential default.  However, this just worsened the funding problems for MGRM.   Several experts fault the NYMEX for this very point, arguing that the increased margin requirements were needless and helped precipitate the funding crisis.</w:t>
      </w:r>
      <w:r>
        <w:rPr>
          <w:rStyle w:val="EndnoteCharacters"/>
          <w:rStyle w:val="EndnoteReference"/>
        </w:rPr>
        <w:endnoteReference w:id="7"/>
      </w:r>
    </w:p>
    <w:p>
      <w:pPr>
        <w:pStyle w:val="Normal"/>
        <w:jc w:val="both"/>
        <w:rPr/>
      </w:pPr>
      <w:r>
        <w:rPr/>
      </w:r>
    </w:p>
    <w:p>
      <w:pPr>
        <w:pStyle w:val="Normal"/>
        <w:jc w:val="both"/>
        <w:rPr/>
      </w:pPr>
      <w:r>
        <w:rPr/>
        <w:t xml:space="preserve">How is a company to effectively manage large positions and make subsequent decisions if an exchange can whimsically impose restrictive measures on a company, especially due to rumor and hearsay?  The rules and procedures should be clearly drawn out for all parties to understand so that there are no surprises, no misunderstandings, and no unnecessary and exacerbating hardships.  The bottom line underlying the problem was the sheer size of MGRM’s position.  This wasn’t the first time and it will not be the last time a company takes a large position due to the enormity of business being hedged.  The exchanges should prepare accordingly and avoid uncertainty by implementing unambiguous decision-making processes.  </w:t>
      </w:r>
    </w:p>
    <w:p>
      <w:pPr>
        <w:pStyle w:val="Heading3"/>
        <w:ind w:hanging="0" w:start="0"/>
        <w:jc w:val="both"/>
        <w:rPr/>
      </w:pPr>
      <w:r>
        <w:rPr/>
        <w:t>OTC Market</w:t>
      </w:r>
    </w:p>
    <w:p>
      <w:pPr>
        <w:pStyle w:val="Normal"/>
        <w:jc w:val="both"/>
        <w:rPr/>
      </w:pPr>
      <w:r>
        <w:rPr/>
        <w:t>Some feel that the federal financial regulatory agencies have failed to keep pace with the rapid innovation in OTC derivative markets. Others fear that further deregulation of the futures markets would “eliminate federal power to protect against manipulation, fraud, financial instability, and other dangers.”</w:t>
      </w:r>
      <w:r>
        <w:rPr>
          <w:rStyle w:val="EndnoteCharacters"/>
          <w:rStyle w:val="EndnoteReference"/>
        </w:rPr>
        <w:endnoteReference w:id="8"/>
      </w:r>
      <w:r>
        <w:rPr/>
        <w:t xml:space="preserve"> </w:t>
      </w:r>
      <w:r>
        <w:rPr>
          <w:color w:val="0000FF"/>
        </w:rPr>
        <w:t xml:space="preserve"> </w:t>
      </w:r>
      <w:r>
        <w:rPr/>
        <w:t>The speed, technology, and size of business today call for a regulatory environment equipped to appropriately manage the corresponding scope in order to avoid similar, or worse scenarios in the future.  The difficulty rests in finding a balance.  Businesses are set up with the intention to take risks – it is only through risk taking that a profit can be earned.  Thus, regulatory concerns should not hinder the ability for businesses to operate freely. “Exchange-traded derivatives, such as futures contracts have long been subject to comprehensive government regulation.  In the U.S., the SEC regulates securities and options exchanges while the CFTC regulates futures exchanges and futures brokers.  Although OTC derivatives markets are not regulated by any single federal agency, most OTC dealers, such as commercial banks and brokerage firms, are subject to federal regulation.”</w:t>
      </w:r>
      <w:r>
        <w:rPr>
          <w:rStyle w:val="EndnoteCharacters"/>
          <w:rStyle w:val="EndnoteReference"/>
        </w:rPr>
        <w:endnoteReference w:id="9"/>
      </w:r>
      <w:r>
        <w:rPr/>
        <w:t xml:space="preserve">  But that doesn’t mean they need more regulation unless specific breakdowns in the OTC markets can be identified that need changing.  </w:t>
      </w:r>
    </w:p>
    <w:p>
      <w:pPr>
        <w:pStyle w:val="Normal"/>
        <w:jc w:val="both"/>
        <w:rPr/>
      </w:pPr>
      <w:r>
        <w:rPr/>
      </w:r>
    </w:p>
    <w:p>
      <w:pPr>
        <w:pStyle w:val="Normal"/>
        <w:jc w:val="both"/>
        <w:rPr/>
      </w:pPr>
      <w:r>
        <w:rPr/>
        <w:t xml:space="preserve">Governing bodies should not have “prevention” of mistakes as their aim, but rather markets that are safe, effective, and fair for all.  If government over regulates, then companies are forced to operate less efficiently and less profitably.  If regulations are lacking or ambiguous, Pandora awaits.  The middle ground is hard sometimes to find; perfect anticipation is only for seers and prophets. </w:t>
      </w:r>
    </w:p>
    <w:p>
      <w:pPr>
        <w:pStyle w:val="Normal"/>
        <w:jc w:val="both"/>
        <w:rPr/>
      </w:pPr>
      <w:r>
        <w:rPr/>
      </w:r>
    </w:p>
    <w:p>
      <w:pPr>
        <w:pStyle w:val="Heading3"/>
        <w:ind w:hanging="0" w:start="0"/>
        <w:jc w:val="both"/>
        <w:rPr/>
      </w:pPr>
      <w:r>
        <w:rPr/>
        <w:t>Commodity Futures Trading Commission (CFTC)</w:t>
      </w:r>
    </w:p>
    <w:p>
      <w:pPr>
        <w:pStyle w:val="Normal"/>
        <w:jc w:val="both"/>
        <w:rPr/>
      </w:pPr>
      <w:r>
        <w:rPr/>
        <w:t>In July 1995, the CFTC instituted administrative proceedings against MGRM and MGRM, charging them with “material inadequacies in internal control systems.”  Likewise, the charges included failure to inform the CFTC of these “material inadequacies” and charged MGRM with selling illegal, off-exchange futures contracts.</w:t>
      </w:r>
      <w:r>
        <w:rPr>
          <w:rStyle w:val="EndnoteCharacters"/>
          <w:rStyle w:val="EndnoteReference"/>
        </w:rPr>
        <w:endnoteReference w:id="10"/>
      </w:r>
      <w:r>
        <w:rPr/>
        <w:t xml:space="preserve">  The actions of the CFTC have been controversial however, because under the Commodity Exchange Act, the CFTC’s jurisdiction is with exchange-traded contracts.  The act explicitly excludes commercial forward contracts from their jurisdiction.  Nonetheless, interpretation of the law and discussion of exactly which contracts are regulated or not, is still debated.  Some critics and even two members of Congress have criticized the agency saying its actions created uncertainty.  Again the resounding message is of much needed clarity.</w:t>
      </w:r>
    </w:p>
    <w:p>
      <w:pPr>
        <w:pStyle w:val="Heading2"/>
        <w:ind w:hanging="0" w:start="0"/>
        <w:jc w:val="both"/>
        <w:rPr/>
      </w:pPr>
      <w:r>
        <w:rPr/>
        <w:t>Accounting Issues</w:t>
      </w:r>
    </w:p>
    <w:p>
      <w:pPr>
        <w:pStyle w:val="Heading3"/>
        <w:ind w:hanging="0" w:start="0"/>
        <w:jc w:val="both"/>
        <w:rPr/>
      </w:pPr>
      <w:r>
        <w:rPr/>
        <w:t xml:space="preserve">Auditors Report </w:t>
      </w:r>
    </w:p>
    <w:p>
      <w:pPr>
        <w:pStyle w:val="Normal"/>
        <w:jc w:val="both"/>
        <w:rPr/>
      </w:pPr>
      <w:r>
        <w:rPr/>
        <w:t>In addition to the various and sundry debates surrounding MGRM’s strategy and subsequent handling of the fallout, another question has been raised.  What exactly were the actual losses that had been incurred by MGRM as they decided what plan of action to take?  A German company was hired to audit MGRM’s status on the outstanding positions and came to the conclusion that over $1.3 billion in losses had been sustained, and thus the oft-cited figure.  However, Culp and Miller in “</w:t>
      </w:r>
      <w:r>
        <w:rPr>
          <w:i/>
          <w:iCs/>
        </w:rPr>
        <w:t>Auditing the MGRM Shareholders’ Audit</w:t>
      </w:r>
      <w:r>
        <w:rPr/>
        <w:t>” sincerely disagree with this figure and raise valid questions as to its accuracy.  Was MGRM’s management, as well as the financial public, misled into a hasty panic that was unwarranted?  Certainly the losses were substantial, but if the true figure had been under $200 million, as Culp and Miller suggest, then perhaps management would have been more patient and careful in responding to the “crisis”.   How could such a dramatic difference in the tally exist?  The argument laid out by Culp and Miller (henceforth C&amp;M) is compelling.</w:t>
      </w:r>
    </w:p>
    <w:p>
      <w:pPr>
        <w:pStyle w:val="Normal"/>
        <w:jc w:val="both"/>
        <w:rPr/>
      </w:pPr>
      <w:r>
        <w:rPr/>
      </w:r>
    </w:p>
    <w:p>
      <w:pPr>
        <w:pStyle w:val="Normal"/>
        <w:jc w:val="both"/>
        <w:rPr/>
      </w:pPr>
      <w:r>
        <w:rPr/>
        <w:t xml:space="preserve">The first and main point made is that in order to establish a </w:t>
      </w:r>
      <w:r>
        <w:rPr>
          <w:i/>
          <w:iCs/>
        </w:rPr>
        <w:t>net</w:t>
      </w:r>
      <w:r>
        <w:rPr/>
        <w:t xml:space="preserve"> loss/gain on any position, both sides of the hedge have to be assessed.  C&amp;M identify each of the individual positions held by MGRM; they look at the volume of each, they look at the short-term rollover positions in futures, and they evaluate the long-term fixed, and fixed-flexible contracts that MGRM had entered with customers covering ranges from 2-10 years.  The $1.3 billion reported turns out to be only one leg of the hedge according to C&amp;M – the losses on the futures leg.  What matters to the stockholders, and what should matter to creditors and management, are the </w:t>
      </w:r>
      <w:r>
        <w:rPr>
          <w:i/>
          <w:iCs/>
        </w:rPr>
        <w:t>net</w:t>
      </w:r>
      <w:r>
        <w:rPr/>
        <w:t xml:space="preserve"> losses/gains for the whole hedge (i.e. both sides of the position).  When both sides are analyzed, evaluated, and valued – which C&amp;M elaborate on in detail in their paper – the number diminishes from $1.3 billion to just under $200 million. </w:t>
      </w:r>
    </w:p>
    <w:p>
      <w:pPr>
        <w:pStyle w:val="Normal"/>
        <w:jc w:val="both"/>
        <w:rPr/>
      </w:pPr>
      <w:r>
        <w:rPr/>
      </w:r>
    </w:p>
    <w:p>
      <w:pPr>
        <w:pStyle w:val="Normal"/>
        <w:jc w:val="both"/>
        <w:rPr/>
      </w:pPr>
      <w:r>
        <w:rPr/>
        <w:t>Losing close to $200 million is never pleasant, but such a figure would undoubtedly have created less panic and afforded MGRM sufficient time to consider alternative actions other than immediate unwinding and dismantling of the entire hedge, which in the process incurred a substantially greater loss than was necessary.  Indeed if they had waited patiently, even by the end of just 1994 the term structure of prices had flattened and the program would have shown an unexpected rollover gain on the stacked hedge and an increase in the capital asset value of the program.</w:t>
      </w:r>
    </w:p>
    <w:p>
      <w:pPr>
        <w:pStyle w:val="Normal"/>
        <w:jc w:val="both"/>
        <w:rPr/>
      </w:pPr>
      <w:r>
        <w:rPr/>
      </w:r>
    </w:p>
    <w:p>
      <w:pPr>
        <w:pStyle w:val="Normal"/>
        <w:jc w:val="both"/>
        <w:rPr/>
      </w:pPr>
      <w:r>
        <w:rPr/>
        <w:t>A separate consideration noted in the same paper was why MGRM didn’t sell its program to another firm.  While the short-term futures rollover positions were creating losses due to falling oil prices, the long-term fixed and fixed-flexible contracts were holding and/or increasing in value.  MGRM could certainly have packaged and sold those contracts to other parties needing/desiring the corresponding positions, and in doing so MGRM could have realized a substantial asset gain for the value of those flow contracts.  This would have allowed the company to offset some of its futures losses and it would have ended the cash drain resulting from the futures rollovers.  The whole point of a hedge is to have two offsetting positions.  MGRM mysteriously and perplexingly failed to realize any value for the other side of the hedge.  Instead what happened was, as C&amp;M put it, “The worst possible solution…eliminating the hedge and just canceling the flow contracts without adequate compensation.”  MGRM’s supervisory board directed the unwinding of the futures and the canceling of the long-term contracts with no payment required from customers.  This is unimaginable!  C&amp;M estimate that perhaps $788 million (not discounted to present value) was forgone as a result of not selling the contracts.  Yet, surprisingly the auditors defend MGRM’s decision to cancel the contracts without compensation.  One may argue momentarily that MGRM may not have thought it was in a position to negotiate with its customers for the sale of these contracts.  Then a still greater mystery is why, AFTER being paid $2 million by one customer to close out its contracts, MGRM decided to refund the $2 million it had already been paid?  As C&amp;M point out, if one customer was willing to pay, then others were likely to have done the same.  “The auditors’ contention that management was justified in its contract cancellations must be regarded as completely unsupported.”</w:t>
      </w:r>
    </w:p>
    <w:p>
      <w:pPr>
        <w:pStyle w:val="Normal"/>
        <w:jc w:val="both"/>
        <w:rPr/>
      </w:pPr>
      <w:r>
        <w:rPr/>
      </w:r>
    </w:p>
    <w:p>
      <w:pPr>
        <w:pStyle w:val="Normal"/>
        <w:jc w:val="both"/>
        <w:rPr/>
      </w:pPr>
      <w:r>
        <w:rPr/>
        <w:t>The truth in the accounting we may never know, but one additional lesson is forthcoming.   Management must diligently obtain all relevant and accurate data before possibly making any sound decisions.  If decisions are based upon erroneous information, or incomplete information, then the resulting action based upon such will certainly have a poor outcome.  How such enormous discrepancies in “fact” can exist are beyond comprehension.  These are no small matters, indeed one of the largest companies in Germany nearly closed it doors, and potentially due to a problem of “simple” math.</w:t>
      </w:r>
    </w:p>
    <w:p>
      <w:pPr>
        <w:pStyle w:val="Heading3"/>
        <w:ind w:hanging="0" w:start="0"/>
        <w:jc w:val="both"/>
        <w:rPr/>
      </w:pPr>
      <w:r>
        <w:rPr/>
        <w:t>Hedge Accounting Issues</w:t>
      </w:r>
    </w:p>
    <w:p>
      <w:pPr>
        <w:pStyle w:val="Normal"/>
        <w:jc w:val="both"/>
        <w:rPr/>
      </w:pPr>
      <w:r>
        <w:rPr/>
        <w:t xml:space="preserve">We briefly discussed the difference between U.S. hedge accounting and German hedge accounting in an earlier section.  As mentioned then, the differences between the two standards helped escalate the situation at MGRM in late 1993 and contributed to the parent company’s decision to unwind MGRM’s positions in the U.S.  </w:t>
      </w:r>
    </w:p>
    <w:p>
      <w:pPr>
        <w:pStyle w:val="Normal"/>
        <w:jc w:val="both"/>
        <w:rPr/>
      </w:pPr>
      <w:r>
        <w:rPr/>
      </w:r>
    </w:p>
    <w:p>
      <w:pPr>
        <w:pStyle w:val="Normal"/>
        <w:jc w:val="both"/>
        <w:rPr/>
      </w:pPr>
      <w:r>
        <w:rPr/>
        <w:t xml:space="preserve">For MGRM, U.S. accounting rules enabled them to offset their hedging losses with the gains from their forward fixed-rate positions.  However, in Germany, the gains from their forward fixed-rate positions could not be accounted for until they were realized.  The discrepancy between German and U.S. accounting standards translated into a profit under U.S. GAAP (Arthur Andersen’s audited statements indicated a $61 million profit) and a loss under German standards (MGRM’s audited statements indicated a $291 million loss) for the period ending September 30, 1993.  The significant accounting loss reported on Metallgesellschaft’s German income statement seemed to have caused shock waves among shareholders, creditors and management which may have contributed to the panic which eventually led to the parent company closing out and unwinding its positions in the U.S.  </w:t>
      </w:r>
    </w:p>
    <w:p>
      <w:pPr>
        <w:pStyle w:val="Normal"/>
        <w:jc w:val="both"/>
        <w:rPr/>
      </w:pPr>
      <w:r>
        <w:rPr/>
      </w:r>
    </w:p>
    <w:p>
      <w:pPr>
        <w:pStyle w:val="Normal"/>
        <w:jc w:val="both"/>
        <w:rPr/>
      </w:pPr>
      <w:r>
        <w:rPr/>
        <w:t>The reason for the panic was that the accounting loss in Germany affected the credit rating of Metallgesellschaft that in turn affected its hedging positions with its swap and forward counterparties in the OTC market and its positions on NYMEX.  All counterparties feared that there was significant default risk and raised MGRM’s margin requirements.  In addition the financial community in Germany was fearful that this drop in credit rating might have a significant impact on the company’s future viability.</w:t>
      </w:r>
    </w:p>
    <w:p>
      <w:pPr>
        <w:pStyle w:val="Normal"/>
        <w:jc w:val="both"/>
        <w:rPr/>
      </w:pPr>
      <w:r>
        <w:rPr/>
      </w:r>
    </w:p>
    <w:p>
      <w:pPr>
        <w:pStyle w:val="BodyText"/>
        <w:rPr/>
      </w:pPr>
      <w:r>
        <w:rPr/>
        <w:t>Therefore, included in the list of issues firms need to consider when engaging in hedging activities is the accounting ramifications of their derivatives positions.  Many have argued that if German accounting had been closer to U.S. GAAP, much of this could have been avoided.  Management, however, should have been watching this closely.  The red flags should have been apparent in Germany well before the financial statements were released for the year and then actions could have been taken to mitigate the eventual fallout.  Thus the accounting issue should be considered when developing the hedging strategy.</w:t>
      </w:r>
    </w:p>
    <w:p>
      <w:pPr>
        <w:pStyle w:val="BodyText"/>
        <w:rPr/>
      </w:pPr>
      <w:r>
        <w:rPr/>
      </w:r>
    </w:p>
    <w:p>
      <w:pPr>
        <w:pStyle w:val="BodyText"/>
        <w:rPr>
          <w:b/>
          <w:bCs/>
        </w:rPr>
      </w:pPr>
      <w:r>
        <w:rPr>
          <w:b/>
          <w:bCs/>
        </w:rPr>
        <w:t>Conclusion</w:t>
      </w:r>
    </w:p>
    <w:p>
      <w:pPr>
        <w:pStyle w:val="BodyText"/>
        <w:rPr>
          <w:b/>
          <w:bCs/>
        </w:rPr>
      </w:pPr>
      <w:r>
        <w:rPr>
          <w:b/>
          <w:bCs/>
        </w:rPr>
      </w:r>
    </w:p>
    <w:p>
      <w:pPr>
        <w:pStyle w:val="BodyText"/>
        <w:rPr/>
      </w:pPr>
      <w:r>
        <w:rPr/>
        <w:t>Hedging is a critical activity for many firms as they try and manage risk.  Derivatives are clearly an invaluable tool in this process.  The Metallgesellschaft case was an incredible story that allowed us to examine issues surrounding the use of derivatives.  Studying cases like this exposes many valuable lessons. Whether MG’s strategy was sound business practice and whether they handled the problem as it escalated will remain uncertain.  However, what seems to be the clear and most significant lesson is that management was insufficiently informed and unaware of what risks were associated with this particular strategy.  The Board/management is responsible for the welfare and operation of the firm and their apparent ignorance of the facts in this case was negligence.  Many companies successfully utilize derivatives every day, and receive enormous benefits from them, but a few companies have incurred serious losses from improper use.  In each of the derivative debacles documented to date, one common element can be found in each.  The companies did not have in place proper limits and controls and/or failed to monitor the derivative positions and corresponding risks.  The debate will undoubtedly continue for years to come and many questions will never be completely answered surrounding Metallgesellschaft, but the lessons learned have been valuable.</w:t>
      </w:r>
    </w:p>
    <w:p>
      <w:pPr>
        <w:pStyle w:val="BodyText"/>
        <w:rPr/>
      </w:pPr>
      <w:r>
        <w:rPr/>
      </w:r>
      <w:r>
        <w:br w:type="page"/>
      </w:r>
    </w:p>
    <w:p>
      <w:pPr>
        <w:pStyle w:val="Normal"/>
        <w:rPr>
          <w:b/>
          <w:bCs/>
        </w:rPr>
      </w:pPr>
      <w:r>
        <w:rPr>
          <w:b/>
          <w:bCs/>
        </w:rPr>
        <w:t>Bibliography</w:t>
      </w:r>
    </w:p>
    <w:p>
      <w:pPr>
        <w:pStyle w:val="Normal"/>
        <w:rPr>
          <w:b/>
          <w:bCs/>
        </w:rPr>
      </w:pPr>
      <w:r>
        <w:rPr>
          <w:b/>
          <w:bCs/>
        </w:rPr>
      </w:r>
    </w:p>
    <w:p>
      <w:pPr>
        <w:pStyle w:val="Normal"/>
        <w:rPr/>
      </w:pPr>
      <w:r>
        <w:rPr/>
        <w:t>Benson, W. Arthur vs. Metallgesellschaft Corp. et. Al., Civ. act. No JFM-94-484, U.S. District Court for District of Maryland, 1994</w:t>
      </w:r>
    </w:p>
    <w:p>
      <w:pPr>
        <w:pStyle w:val="Normal"/>
        <w:rPr/>
      </w:pPr>
      <w:r>
        <w:rPr/>
      </w:r>
    </w:p>
    <w:p>
      <w:pPr>
        <w:pStyle w:val="Normal"/>
        <w:rPr/>
      </w:pPr>
      <w:r>
        <w:rPr/>
        <w:t>Bollen, Nicolas and Whaley, Robert “Simulating Supply”, Risk magazine, September 1998.</w:t>
      </w:r>
    </w:p>
    <w:p>
      <w:pPr>
        <w:pStyle w:val="Normal"/>
        <w:rPr/>
      </w:pPr>
      <w:r>
        <w:rPr/>
      </w:r>
    </w:p>
    <w:p>
      <w:pPr>
        <w:pStyle w:val="Normal"/>
        <w:rPr/>
      </w:pPr>
      <w:r>
        <w:rPr/>
        <w:t>Born, Brooksley, Chairperson of the Commodity Futures Trading Commission. “Boca: The Dangers of Deregulation.” Derivatives Review.com, April 1997.</w:t>
      </w:r>
    </w:p>
    <w:p>
      <w:pPr>
        <w:pStyle w:val="Normal"/>
        <w:rPr/>
      </w:pPr>
      <w:r>
        <w:rPr/>
      </w:r>
    </w:p>
    <w:p>
      <w:pPr>
        <w:pStyle w:val="Normal"/>
        <w:rPr/>
      </w:pPr>
      <w:r>
        <w:rPr/>
        <w:t xml:space="preserve">Culp, Christopher and Miller, Merton, “Auditing the MG Shareholders’ Audit”, </w:t>
      </w:r>
      <w:r>
        <w:rPr>
          <w:i/>
          <w:iCs/>
        </w:rPr>
        <w:t>Risk</w:t>
      </w:r>
      <w:r>
        <w:rPr/>
        <w:t xml:space="preserve"> Vol. 8 No.4 (April 1995).</w:t>
      </w:r>
    </w:p>
    <w:p>
      <w:pPr>
        <w:pStyle w:val="Normal"/>
        <w:rPr/>
      </w:pPr>
      <w:r>
        <w:rPr/>
      </w:r>
    </w:p>
    <w:p>
      <w:pPr>
        <w:pStyle w:val="Normal"/>
        <w:rPr/>
      </w:pPr>
      <w:r>
        <w:rPr/>
        <w:t>Culp, Christopher and Miller, Merton, “Hedging a Flow of Commodity Derivatives with Futures: Lessons from Metallgessellschaft” Derivatives Quarterly. Vol. 1, No. 1 September 1994.</w:t>
      </w:r>
    </w:p>
    <w:p>
      <w:pPr>
        <w:pStyle w:val="Normal"/>
        <w:rPr/>
      </w:pPr>
      <w:r>
        <w:rPr/>
      </w:r>
    </w:p>
    <w:p>
      <w:pPr>
        <w:pStyle w:val="Normal"/>
        <w:rPr/>
      </w:pPr>
      <w:r>
        <w:rPr/>
        <w:t>Culp, Christopher and Miller, Merton. “Metallgesselschaft and Economics of Synthetic Storage.” Journal of Applied Corporate Finance, Vol. 7, No. 4, winter 1995.</w:t>
      </w:r>
    </w:p>
    <w:p>
      <w:pPr>
        <w:pStyle w:val="Normal"/>
        <w:rPr/>
      </w:pPr>
      <w:r>
        <w:rPr/>
      </w:r>
    </w:p>
    <w:p>
      <w:pPr>
        <w:pStyle w:val="Normal"/>
        <w:rPr/>
      </w:pPr>
      <w:r>
        <w:rPr/>
        <w:t>Culp, Christopher and Miller, Merton, “Risk Management Lessons from Metallgessellschaft”, Journal of Applied Corporate Finance, 1994.</w:t>
      </w:r>
    </w:p>
    <w:p>
      <w:pPr>
        <w:pStyle w:val="Normal"/>
        <w:rPr/>
      </w:pPr>
      <w:r>
        <w:rPr/>
      </w:r>
    </w:p>
    <w:p>
      <w:pPr>
        <w:pStyle w:val="Normal"/>
        <w:rPr/>
      </w:pPr>
      <w:r>
        <w:rPr/>
        <w:t>Digenan, John and Dan Felson, Robert Kelly and Ann Wiemert, “Metallgesellschaft AG: A Case Study,” 1994.</w:t>
      </w:r>
    </w:p>
    <w:p>
      <w:pPr>
        <w:pStyle w:val="Normal"/>
        <w:rPr/>
      </w:pPr>
      <w:r>
        <w:rPr/>
      </w:r>
    </w:p>
    <w:p>
      <w:pPr>
        <w:pStyle w:val="Normal"/>
        <w:rPr/>
      </w:pPr>
      <w:r>
        <w:rPr/>
        <w:t>Edwards, Franklin R. “Systemic Risk in OTC Derivatives Markets: Much Ado About Not Too Much”, September 7, 1994.</w:t>
      </w:r>
    </w:p>
    <w:p>
      <w:pPr>
        <w:pStyle w:val="Normal"/>
        <w:rPr/>
      </w:pPr>
      <w:r>
        <w:rPr/>
      </w:r>
    </w:p>
    <w:p>
      <w:pPr>
        <w:pStyle w:val="FootnoteText"/>
        <w:rPr>
          <w:sz w:val="24"/>
        </w:rPr>
      </w:pPr>
      <w:r>
        <w:rPr>
          <w:sz w:val="24"/>
        </w:rPr>
        <w:t>Kuprianov, Anatoli. “Derivatives Debacles, Case Studies of Large Losses in Derivatives Market”, Federal Reserve Bank of Richmond Economic Quarterly, Volume 81/4, fall 1995.</w:t>
      </w:r>
    </w:p>
    <w:p>
      <w:pPr>
        <w:pStyle w:val="FootnoteText"/>
        <w:rPr>
          <w:sz w:val="24"/>
        </w:rPr>
      </w:pPr>
      <w:r>
        <w:rPr>
          <w:sz w:val="24"/>
        </w:rPr>
      </w:r>
    </w:p>
    <w:p>
      <w:pPr>
        <w:pStyle w:val="Normal"/>
        <w:rPr/>
      </w:pPr>
      <w:r>
        <w:rPr/>
        <w:t>Sherreff, David, “In the Line of Fire”, Euromoney, March 1994.</w:t>
      </w:r>
    </w:p>
    <w:p>
      <w:pPr>
        <w:pStyle w:val="Normal"/>
        <w:rPr/>
      </w:pPr>
      <w:r>
        <w:rPr/>
      </w:r>
    </w:p>
    <w:p>
      <w:pPr>
        <w:pStyle w:val="Normal"/>
        <w:rPr/>
      </w:pPr>
      <w:r>
        <w:rPr/>
        <w:t xml:space="preserve">Sauderson, Allan “Eyes Off the Ball” The Banker, London, March 1994. </w:t>
        <w:br/>
      </w:r>
    </w:p>
    <w:p>
      <w:pPr>
        <w:pStyle w:val="Normal"/>
        <w:rPr/>
      </w:pPr>
      <w:r>
        <w:rPr/>
        <w:t xml:space="preserve">Taylor, Jeffrey and Sullivan Allanna, “German Firm Finds Hedges Can Be Thorny”, The Wall Street Journal, January 10, 1994. </w:t>
      </w:r>
    </w:p>
    <w:p>
      <w:pPr>
        <w:pStyle w:val="Normal"/>
        <w:rPr/>
      </w:pPr>
      <w:r>
        <w:rPr/>
      </w:r>
    </w:p>
    <w:p>
      <w:pPr>
        <w:pStyle w:val="Normal"/>
        <w:rPr/>
      </w:pPr>
      <w:r>
        <w:rPr/>
        <w:t xml:space="preserve">Taylor, Jeffrey and bacon, Kenneth, “How the NYMEX Calmed Crisis Over MG’s Oil Trades”, The Wall Street Journal, New York, April 5, 1994. </w:t>
      </w:r>
    </w:p>
    <w:p>
      <w:pPr>
        <w:pStyle w:val="Normal"/>
        <w:rPr/>
      </w:pPr>
      <w:r>
        <w:rPr/>
      </w:r>
    </w:p>
    <w:p>
      <w:pPr>
        <w:pStyle w:val="Normal"/>
        <w:rPr/>
      </w:pPr>
      <w:r>
        <w:rPr/>
        <w:t xml:space="preserve">Taylor, Jeffrey, “MG Corporation How to Stay Active in Oil Business”, The Wall Street Journal, New York, March 14, 1994. </w:t>
      </w:r>
    </w:p>
    <w:p>
      <w:pPr>
        <w:pStyle w:val="Normal"/>
        <w:rPr/>
      </w:pPr>
      <w:r>
        <w:rPr/>
      </w:r>
    </w:p>
    <w:p>
      <w:pPr>
        <w:pStyle w:val="Normal"/>
        <w:rPr/>
      </w:pPr>
      <w:r>
        <w:rPr/>
        <w:t>Group of Thirty Global Derivatives Study Group, Derivatives: Practices and Principles (Washington, D.C.: The Group of thirty, July 1993.</w:t>
      </w:r>
    </w:p>
    <w:p>
      <w:pPr>
        <w:pStyle w:val="Normal"/>
        <w:rPr/>
      </w:pPr>
      <w:r>
        <w:rPr/>
      </w:r>
    </w:p>
    <w:p>
      <w:pPr>
        <w:pStyle w:val="Normal"/>
        <w:rPr/>
      </w:pPr>
      <w:r>
        <w:rPr/>
        <w:t>“</w:t>
      </w:r>
      <w:r>
        <w:rPr/>
        <w:t>Using Derivatives: What Senior Managers Must Know - Perspectives”, Harvard Business Review, January-February 1995.</w:t>
      </w:r>
    </w:p>
    <w:p>
      <w:pPr>
        <w:pStyle w:val="Normal"/>
        <w:rPr/>
      </w:pPr>
      <w:r>
        <w:rPr/>
      </w:r>
    </w:p>
    <w:p>
      <w:pPr>
        <w:pStyle w:val="Normal"/>
        <w:rPr/>
      </w:pPr>
      <w:r>
        <w:rPr/>
        <w:t>Anonymous. “Metallgesselschaft: Not So Clever” Economist; London; January 15, 1994.</w:t>
      </w:r>
    </w:p>
    <w:p>
      <w:pPr>
        <w:pStyle w:val="Normal"/>
        <w:rPr/>
      </w:pPr>
      <w:r>
        <w:rPr/>
      </w:r>
    </w:p>
    <w:p>
      <w:pPr>
        <w:pStyle w:val="Normal"/>
        <w:rPr/>
      </w:pPr>
      <w:r>
        <w:rPr/>
        <w:t>Anonymous. “Champion of Speculators, Unless They Happen to Be Central Banks,” Euromoney; London; April 1994.</w:t>
      </w:r>
    </w:p>
    <w:p>
      <w:pPr>
        <w:pStyle w:val="Normal"/>
        <w:rPr/>
      </w:pPr>
      <w:r>
        <w:rPr/>
      </w:r>
    </w:p>
    <w:p>
      <w:pPr>
        <w:pStyle w:val="Heading6"/>
        <w:ind w:hanging="0" w:start="0"/>
        <w:rPr/>
      </w:pPr>
      <w:r>
        <w:rPr/>
        <w:t>Endnotes</w:t>
      </w:r>
    </w:p>
    <w:sectPr>
      <w:endnotePr>
        <w:pos w:val="sectEnd"/>
        <w:numFmt w:val="decimal"/>
      </w:end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sz w:val="24"/>
        </w:rPr>
        <w:t xml:space="preserve"> </w:t>
      </w:r>
      <w:r>
        <w:rPr>
          <w:sz w:val="24"/>
        </w:rPr>
        <w:t xml:space="preserve">A. Kuprianov, “Derivatives Debacles, Case Studies of Large Losses in Derivatives Market”, Federal Reserve Bank of Richmond </w:t>
      </w:r>
      <w:r>
        <w:rPr>
          <w:i/>
          <w:iCs/>
          <w:sz w:val="24"/>
        </w:rPr>
        <w:t>Economic Quarterly</w:t>
      </w:r>
      <w:r>
        <w:rPr>
          <w:sz w:val="24"/>
        </w:rPr>
        <w:t>, Volume 81/4 Fall 1995.</w:t>
      </w:r>
    </w:p>
    <w:p>
      <w:pPr>
        <w:pStyle w:val="EndnoteText"/>
        <w:rPr>
          <w:sz w:val="24"/>
        </w:rPr>
      </w:pPr>
      <w:r>
        <w:rPr>
          <w:sz w:val="24"/>
        </w:rPr>
      </w:r>
    </w:p>
  </w:endnote>
  <w:endnote w:id="3">
    <w:p>
      <w:pPr>
        <w:pStyle w:val="Normal"/>
        <w:rPr/>
      </w:pPr>
      <w:r>
        <w:rPr>
          <w:rStyle w:val="EndnoteCharacters"/>
        </w:rPr>
        <w:endnoteRef/>
      </w:r>
      <w:r>
        <w:rPr/>
        <w:t xml:space="preserve"> </w:t>
      </w:r>
      <w:r>
        <w:rPr/>
        <w:t>Digenan, John and Dan Felson, Robert Kelly and Ann Wiemert, “Metallgesellschaft AG: A Case Study,” 1994.</w:t>
      </w:r>
    </w:p>
    <w:p>
      <w:pPr>
        <w:pStyle w:val="EndnoteText"/>
        <w:rPr>
          <w:sz w:val="24"/>
        </w:rPr>
      </w:pPr>
      <w:r>
        <w:rPr>
          <w:sz w:val="24"/>
        </w:rPr>
      </w:r>
    </w:p>
  </w:endnote>
  <w:endnote w:id="4">
    <w:p>
      <w:pPr>
        <w:pStyle w:val="EndnoteText"/>
        <w:rPr/>
      </w:pPr>
      <w:r>
        <w:rPr>
          <w:rStyle w:val="EndnoteCharacters"/>
        </w:rPr>
        <w:endnoteRef/>
      </w:r>
      <w:r>
        <w:rPr>
          <w:sz w:val="24"/>
        </w:rPr>
        <w:t xml:space="preserve"> </w:t>
      </w:r>
      <w:r>
        <w:rPr>
          <w:sz w:val="24"/>
        </w:rPr>
        <w:t xml:space="preserve">A. Kuprianov, “Derivatives Debacles, Case Studies of Large Losses in Derivatives Market”, Federal Reserve Bank of Richmond </w:t>
      </w:r>
      <w:r>
        <w:rPr>
          <w:i/>
          <w:iCs/>
          <w:sz w:val="24"/>
        </w:rPr>
        <w:t>Economic Quarterly</w:t>
      </w:r>
      <w:r>
        <w:rPr>
          <w:sz w:val="24"/>
        </w:rPr>
        <w:t>, Volume 81/4 Fall 1995.</w:t>
      </w:r>
    </w:p>
    <w:p>
      <w:pPr>
        <w:pStyle w:val="EndnoteText"/>
        <w:rPr>
          <w:sz w:val="24"/>
        </w:rPr>
      </w:pPr>
      <w:r>
        <w:rPr>
          <w:sz w:val="24"/>
        </w:rPr>
      </w:r>
    </w:p>
  </w:endnote>
  <w:endnote w:id="5">
    <w:p>
      <w:pPr>
        <w:pStyle w:val="FootnoteText"/>
        <w:rPr/>
      </w:pPr>
      <w:r>
        <w:rPr>
          <w:rStyle w:val="EndnoteCharacters"/>
        </w:rPr>
        <w:endnoteRef/>
      </w:r>
      <w:r>
        <w:rPr>
          <w:sz w:val="24"/>
        </w:rPr>
        <w:t xml:space="preserve"> “</w:t>
      </w:r>
      <w:r>
        <w:rPr>
          <w:sz w:val="24"/>
        </w:rPr>
        <w:t>Using Derivatives: What Senior Managers Must Know - Perspectives”, Harvard Business Review, January-February1995.</w:t>
      </w:r>
    </w:p>
    <w:p>
      <w:pPr>
        <w:pStyle w:val="EndnoteText"/>
        <w:rPr>
          <w:sz w:val="24"/>
        </w:rPr>
      </w:pPr>
      <w:r>
        <w:rPr>
          <w:sz w:val="24"/>
        </w:rPr>
      </w:r>
    </w:p>
  </w:endnote>
  <w:endnote w:id="6">
    <w:p>
      <w:pPr>
        <w:pStyle w:val="EndnoteText"/>
        <w:rPr/>
      </w:pPr>
      <w:r>
        <w:rPr>
          <w:rStyle w:val="EndnoteCharacters"/>
        </w:rPr>
        <w:endnoteRef/>
      </w:r>
      <w:r>
        <w:rPr>
          <w:sz w:val="24"/>
        </w:rPr>
        <w:t xml:space="preserve"> </w:t>
      </w:r>
      <w:r>
        <w:rPr>
          <w:sz w:val="24"/>
        </w:rPr>
        <w:t>John Digenan, Dan Felson, Robert Kelly and Ann Wiemert, “Metallgesellschaft AG: A Case Study,” 1994.</w:t>
      </w:r>
    </w:p>
    <w:p>
      <w:pPr>
        <w:pStyle w:val="EndnoteText"/>
        <w:rPr>
          <w:sz w:val="24"/>
        </w:rPr>
      </w:pPr>
      <w:r>
        <w:rPr>
          <w:sz w:val="24"/>
        </w:rPr>
      </w:r>
    </w:p>
  </w:endnote>
  <w:endnote w:id="7">
    <w:p>
      <w:pPr>
        <w:pStyle w:val="EndnoteText"/>
        <w:rPr/>
      </w:pPr>
      <w:r>
        <w:rPr>
          <w:rStyle w:val="EndnoteCharacters"/>
        </w:rPr>
        <w:endnoteRef/>
      </w:r>
      <w:r>
        <w:rPr>
          <w:sz w:val="24"/>
        </w:rPr>
        <w:t xml:space="preserve"> </w:t>
      </w:r>
      <w:r>
        <w:rPr>
          <w:sz w:val="24"/>
        </w:rPr>
        <w:t xml:space="preserve">A. Kuprianov, “Derivatives Debacles, Case Studies of Large Losses in Derivatives Market”, Federal Reserve Bank of Richmond </w:t>
      </w:r>
      <w:r>
        <w:rPr>
          <w:i/>
          <w:iCs/>
          <w:sz w:val="24"/>
        </w:rPr>
        <w:t>Economic Quarterly</w:t>
      </w:r>
      <w:r>
        <w:rPr>
          <w:sz w:val="24"/>
        </w:rPr>
        <w:t>, Volume 81/4 Fall 1995.</w:t>
      </w:r>
    </w:p>
    <w:p>
      <w:pPr>
        <w:pStyle w:val="EndnoteText"/>
        <w:rPr>
          <w:sz w:val="24"/>
        </w:rPr>
      </w:pPr>
      <w:r>
        <w:rPr>
          <w:sz w:val="24"/>
        </w:rPr>
      </w:r>
    </w:p>
  </w:endnote>
  <w:endnote w:id="8">
    <w:p>
      <w:pPr>
        <w:pStyle w:val="EndnoteText"/>
        <w:rPr/>
      </w:pPr>
      <w:r>
        <w:rPr>
          <w:rStyle w:val="EndnoteCharacters"/>
        </w:rPr>
        <w:endnoteRef/>
      </w:r>
      <w:r>
        <w:rPr>
          <w:sz w:val="24"/>
        </w:rPr>
        <w:t xml:space="preserve"> </w:t>
      </w:r>
      <w:r>
        <w:rPr>
          <w:sz w:val="24"/>
        </w:rPr>
        <w:t>Boca: The Dangers of Deregulation.  Remarks By Brooksley Born, Chairperson, Commodity Futures Trading Commission.  Derivatives Review.com, April 1997.</w:t>
      </w:r>
    </w:p>
    <w:p>
      <w:pPr>
        <w:pStyle w:val="EndnoteText"/>
        <w:rPr>
          <w:sz w:val="24"/>
        </w:rPr>
      </w:pPr>
      <w:r>
        <w:rPr>
          <w:sz w:val="24"/>
        </w:rPr>
      </w:r>
    </w:p>
  </w:endnote>
  <w:endnote w:id="9">
    <w:p>
      <w:pPr>
        <w:pStyle w:val="EndnoteText"/>
        <w:rPr/>
      </w:pPr>
      <w:r>
        <w:rPr>
          <w:rStyle w:val="EndnoteCharacters"/>
        </w:rPr>
        <w:endnoteRef/>
      </w:r>
      <w:r>
        <w:rPr>
          <w:sz w:val="24"/>
        </w:rPr>
        <w:t xml:space="preserve"> </w:t>
      </w:r>
      <w:r>
        <w:rPr>
          <w:sz w:val="24"/>
        </w:rPr>
        <w:t xml:space="preserve">A. Kuprianov, “Derivatives Debacles, Case Studies of Large Losses in Derivatives Market”, Federal Reserve Bank of Richmond </w:t>
      </w:r>
      <w:r>
        <w:rPr>
          <w:i/>
          <w:iCs/>
          <w:sz w:val="24"/>
        </w:rPr>
        <w:t>Economic Quarterly</w:t>
      </w:r>
      <w:r>
        <w:rPr>
          <w:sz w:val="24"/>
        </w:rPr>
        <w:t>, Volume 81/4 Fall 1995.</w:t>
      </w:r>
    </w:p>
    <w:p>
      <w:pPr>
        <w:pStyle w:val="EndnoteText"/>
        <w:rPr>
          <w:sz w:val="24"/>
        </w:rPr>
      </w:pPr>
      <w:r>
        <w:rPr>
          <w:sz w:val="24"/>
        </w:rPr>
      </w:r>
    </w:p>
  </w:endnote>
  <w:endnote w:id="10">
    <w:p>
      <w:pPr>
        <w:pStyle w:val="EndnoteText"/>
        <w:rPr/>
      </w:pPr>
      <w:r>
        <w:rPr>
          <w:rStyle w:val="EndnoteCharacters"/>
        </w:rPr>
        <w:endnoteRef/>
      </w:r>
      <w:r>
        <w:rPr>
          <w:sz w:val="24"/>
        </w:rPr>
        <w:t xml:space="preserve"> </w:t>
      </w:r>
      <w:r>
        <w:rPr>
          <w:sz w:val="24"/>
        </w:rPr>
        <w:t>Ibid</w:t>
      </w:r>
    </w:p>
    <w:p>
      <w:pPr>
        <w:pStyle w:val="EndnoteText"/>
        <w:rPr>
          <w:sz w:val="24"/>
        </w:rPr>
      </w:pPr>
      <w:r>
        <w:rPr>
          <w:sz w:val="24"/>
        </w:rPr>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endnotePr>
    <w:pos w:val="sectEnd"/>
    <w:numFmt w:val="decimal"/>
    <w:endnote w:id="0"/>
    <w:endnote w:id="1"/>
  </w:end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paragraph" w:styleId="Heading2">
    <w:name w:val="heading 2"/>
    <w:basedOn w:val="Normal"/>
    <w:next w:val="Normal"/>
    <w:qFormat/>
    <w:pPr>
      <w:keepNext w:val="true"/>
      <w:numPr>
        <w:ilvl w:val="1"/>
        <w:numId w:val="1"/>
      </w:numPr>
      <w:spacing w:before="240" w:after="60"/>
      <w:outlineLvl w:val="1"/>
    </w:pPr>
    <w:rPr>
      <w:szCs w:val="28"/>
      <w:u w:val="single"/>
    </w:rPr>
  </w:style>
  <w:style w:type="paragraph" w:styleId="Heading3">
    <w:name w:val="heading 3"/>
    <w:basedOn w:val="Normal"/>
    <w:next w:val="Normal"/>
    <w:qFormat/>
    <w:pPr>
      <w:keepNext w:val="true"/>
      <w:numPr>
        <w:ilvl w:val="2"/>
        <w:numId w:val="1"/>
      </w:numPr>
      <w:spacing w:before="240" w:after="60"/>
      <w:outlineLvl w:val="2"/>
    </w:pPr>
    <w:rPr>
      <w:i/>
      <w:iCs/>
      <w:szCs w:val="26"/>
    </w:rPr>
  </w:style>
  <w:style w:type="paragraph" w:styleId="Heading4">
    <w:name w:val="heading 4"/>
    <w:basedOn w:val="Normal"/>
    <w:next w:val="Normal"/>
    <w:qFormat/>
    <w:pPr>
      <w:keepNext w:val="true"/>
      <w:numPr>
        <w:ilvl w:val="3"/>
        <w:numId w:val="1"/>
      </w:numPr>
      <w:jc w:val="both"/>
      <w:outlineLvl w:val="3"/>
    </w:pPr>
    <w:rPr>
      <w:u w:val="single"/>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Normal"/>
    <w:qFormat/>
    <w:pPr>
      <w:keepNext w:val="true"/>
      <w:numPr>
        <w:ilvl w:val="5"/>
        <w:numId w:val="1"/>
      </w:numPr>
      <w:outlineLvl w:val="5"/>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i/>
      <w:iCs/>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jc w:val="both"/>
    </w:pPr>
    <w:rPr>
      <w:color w:val="FF00FF"/>
    </w:rPr>
  </w:style>
  <w:style w:type="paragraph" w:styleId="EndnoteText">
    <w:name w:val="end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endnotes" Target="end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2001-04-27T14:57:00Z</dcterms:created>
  <dc:creator>Lynn Nazareth</dc:creator>
  <dc:description/>
  <dc:language>en-CA</dc:language>
  <cp:lastModifiedBy>Lynn Nazareth</cp:lastModifiedBy>
  <cp:lastPrinted>2001-04-21T13:32:00Z</cp:lastPrinted>
  <dcterms:modified xsi:type="dcterms:W3CDTF">2001-04-27T15:12:00Z</dcterms:modified>
  <cp:revision>4</cp:revision>
  <dc:subject/>
  <dc:title>MGMT 656</dc:title>
</cp:coreProperties>
</file>