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UtiliCorp/Michigan Gas Utilities</w:t>
      </w:r>
    </w:p>
    <w:p>
      <w:pPr>
        <w:pStyle w:val="Heading"/>
        <w:rPr>
          <w:sz w:val="32"/>
        </w:rPr>
      </w:pPr>
      <w:r>
        <w:rPr>
          <w:sz w:val="32"/>
        </w:rPr>
        <w:t xml:space="preserve"> </w:t>
      </w:r>
      <w:r>
        <w:rPr>
          <w:sz w:val="32"/>
        </w:rPr>
        <w:t>Deal Approval Sheet</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3"/>
        </w:numPr>
        <w:tabs>
          <w:tab w:val="clear" w:pos="720"/>
          <w:tab w:val="left" w:pos="3240" w:leader="none"/>
        </w:tabs>
        <w:ind w:firstLine="720" w:start="2160" w:end="0"/>
        <w:rPr>
          <w:b/>
          <w:sz w:val="28"/>
        </w:rPr>
      </w:pPr>
      <w:r>
        <w:rPr>
          <w:b/>
          <w:sz w:val="28"/>
        </w:rPr>
        <w:t>Strategy/Deal Summary</w:t>
      </w:r>
    </w:p>
    <w:p>
      <w:pPr>
        <w:pStyle w:val="Normal"/>
        <w:ind w:start="1800" w:end="0"/>
        <w:rPr>
          <w:b/>
          <w:sz w:val="28"/>
        </w:rPr>
      </w:pPr>
      <w:r>
        <w:rPr>
          <w:b/>
          <w:sz w:val="28"/>
        </w:rPr>
      </w:r>
    </w:p>
    <w:p>
      <w:pPr>
        <w:pStyle w:val="Normal"/>
        <w:ind w:start="1800" w:end="0"/>
        <w:rPr>
          <w:b/>
          <w:sz w:val="28"/>
        </w:rPr>
      </w:pPr>
      <w:r>
        <w:rPr>
          <w:b/>
          <w:sz w:val="28"/>
        </w:rPr>
      </w:r>
    </w:p>
    <w:p>
      <w:pPr>
        <w:pStyle w:val="Normal"/>
        <w:numPr>
          <w:ilvl w:val="0"/>
          <w:numId w:val="4"/>
        </w:numPr>
        <w:tabs>
          <w:tab w:val="clear" w:pos="720"/>
          <w:tab w:val="left" w:pos="3240" w:leader="none"/>
        </w:tabs>
        <w:ind w:hanging="72" w:start="2952" w:end="0"/>
        <w:rPr>
          <w:b/>
          <w:sz w:val="28"/>
        </w:rPr>
      </w:pPr>
      <w:r>
        <w:rPr>
          <w:b/>
          <w:sz w:val="28"/>
        </w:rPr>
        <w:t xml:space="preserve">Valuation </w:t>
      </w:r>
    </w:p>
    <w:p>
      <w:pPr>
        <w:pStyle w:val="Normal"/>
        <w:ind w:start="1800" w:end="0"/>
        <w:rPr>
          <w:b/>
          <w:sz w:val="28"/>
        </w:rPr>
      </w:pPr>
      <w:r>
        <w:rPr>
          <w:b/>
          <w:sz w:val="28"/>
        </w:rPr>
      </w:r>
    </w:p>
    <w:p>
      <w:pPr>
        <w:pStyle w:val="Normal"/>
        <w:ind w:start="1800" w:end="0"/>
        <w:rPr>
          <w:b/>
          <w:sz w:val="28"/>
        </w:rPr>
      </w:pPr>
      <w:r>
        <w:rPr>
          <w:b/>
          <w:sz w:val="28"/>
        </w:rPr>
      </w:r>
    </w:p>
    <w:p>
      <w:pPr>
        <w:pStyle w:val="Normal"/>
        <w:numPr>
          <w:ilvl w:val="0"/>
          <w:numId w:val="3"/>
        </w:numPr>
        <w:tabs>
          <w:tab w:val="clear" w:pos="720"/>
          <w:tab w:val="left" w:pos="3240" w:leader="none"/>
        </w:tabs>
        <w:ind w:firstLine="720" w:start="2160" w:end="0"/>
        <w:rPr>
          <w:b/>
          <w:sz w:val="28"/>
        </w:rPr>
      </w:pPr>
      <w:r>
        <w:rPr>
          <w:b/>
          <w:sz w:val="28"/>
        </w:rPr>
        <w:t xml:space="preserve">Risks </w:t>
      </w:r>
    </w:p>
    <w:p>
      <w:pPr>
        <w:pStyle w:val="Normal"/>
        <w:ind w:start="1800" w:end="0"/>
        <w:rPr>
          <w:b/>
          <w:sz w:val="28"/>
        </w:rPr>
      </w:pPr>
      <w:r>
        <w:rPr>
          <w:b/>
          <w:sz w:val="28"/>
        </w:rPr>
      </w:r>
    </w:p>
    <w:p>
      <w:pPr>
        <w:pStyle w:val="Normal"/>
        <w:ind w:start="1800" w:end="0"/>
        <w:rPr>
          <w:b/>
          <w:sz w:val="28"/>
        </w:rPr>
      </w:pPr>
      <w:r>
        <w:rPr>
          <w:b/>
          <w:sz w:val="28"/>
        </w:rPr>
      </w:r>
    </w:p>
    <w:p>
      <w:pPr>
        <w:pStyle w:val="Normal"/>
        <w:numPr>
          <w:ilvl w:val="0"/>
          <w:numId w:val="3"/>
        </w:numPr>
        <w:tabs>
          <w:tab w:val="clear" w:pos="720"/>
          <w:tab w:val="left" w:pos="3240" w:leader="none"/>
        </w:tabs>
        <w:ind w:firstLine="720" w:start="2160" w:end="0"/>
        <w:rPr>
          <w:b/>
          <w:sz w:val="28"/>
        </w:rPr>
      </w:pPr>
      <w:r>
        <w:rPr>
          <w:b/>
          <w:sz w:val="28"/>
        </w:rPr>
        <w:t>Customer Information</w:t>
      </w:r>
    </w:p>
    <w:p>
      <w:pPr>
        <w:pStyle w:val="Normal"/>
        <w:ind w:start="1800" w:end="0"/>
        <w:rPr>
          <w:b/>
          <w:sz w:val="28"/>
        </w:rPr>
      </w:pPr>
      <w:r>
        <w:rPr>
          <w:b/>
          <w:sz w:val="28"/>
        </w:rPr>
      </w:r>
    </w:p>
    <w:p>
      <w:pPr>
        <w:pStyle w:val="Normal"/>
        <w:ind w:start="1800" w:end="0"/>
        <w:rPr>
          <w:b/>
          <w:sz w:val="28"/>
        </w:rPr>
      </w:pPr>
      <w:r>
        <w:rPr>
          <w:b/>
          <w:sz w:val="28"/>
        </w:rPr>
      </w:r>
      <w:r>
        <w:br w:type="page"/>
      </w:r>
    </w:p>
    <w:p>
      <w:pPr>
        <w:pStyle w:val="Heading3"/>
        <w:ind w:hanging="0" w:start="0"/>
        <w:jc w:val="center"/>
        <w:rPr>
          <w:sz w:val="24"/>
          <w:u w:val="none"/>
        </w:rPr>
      </w:pPr>
      <w:r>
        <w:rPr>
          <w:sz w:val="24"/>
          <w:u w:val="none"/>
        </w:rPr>
        <w:t>Strategy/Deal Summary</w:t>
      </w:r>
    </w:p>
    <w:p>
      <w:pPr>
        <w:pStyle w:val="Normal"/>
        <w:spacing w:lineRule="auto" w:line="480"/>
        <w:jc w:val="both"/>
        <w:rPr/>
      </w:pPr>
      <w:r>
        <w:rPr/>
        <w:t xml:space="preserve"> </w:t>
      </w:r>
      <w:r>
        <w:rPr/>
        <w:t xml:space="preserve">As the Peoples/enovate transaction continues to demonstrate, properly structured and managed asset deals bring significant mark-to-market and accrual value to Enron in the short term, and create a profitable and sustainable business platform for the long term.  The next link in the value chain for the Central Region is to expand our physical asset and information network from Chicago to strategic markets to the east.  The critical connectivity points are Michigan and Ohio.  In discussions with the trading desk, it was determined that Michigan should be the first priority as it is a perfectly situated to become a large market hub with over 600 BCF of storage, Vector Pipeline bringing incremental capacity and liquidity to the Chicago/Michigan path, and access to the  “northern route” through Canada to the East Coast marketplace.  The large utilities in Michigan (CMS and MichCon/DTE) are committed to building internal trading capability; therefore, we targeted the mid-sized utilities as potential asset management candidates.  </w:t>
      </w:r>
    </w:p>
    <w:p>
      <w:pPr>
        <w:pStyle w:val="Normal"/>
        <w:spacing w:lineRule="auto" w:line="480"/>
        <w:jc w:val="both"/>
        <w:rPr/>
      </w:pPr>
      <w:r>
        <w:rPr/>
      </w:r>
    </w:p>
    <w:p>
      <w:pPr>
        <w:pStyle w:val="Normal"/>
        <w:spacing w:lineRule="auto" w:line="480"/>
        <w:jc w:val="both"/>
        <w:rPr/>
      </w:pPr>
      <w:r>
        <w:rPr/>
        <w:t xml:space="preserve"> </w:t>
      </w:r>
      <w:r>
        <w:rPr/>
        <w:t>Michigan Gas Utilities (MGU) has a long history of regulatory trouble due to affiliate dealings and gas cost disallowance.  ENA proposed a broad outsourcing solution that would meet MGU’s supply needs and insulate them from regulatory oversight.  The transaction terms call for MGU to release/assign all upstream gas supply assets (including 91,000 MMBtu/d of firm pipeline capacity, 3.5 BCF of ANR storage, and 3.5 BCF of company-owned storage behind the gate) in return for a full-requirements load following service from ENA.  ENA will assist MGU with gas cost filings and other information relevant to this specific contract as requested by the Michigan Public Service Commission</w:t>
      </w:r>
      <w:r>
        <w:rPr>
          <w:b/>
          <w:bCs/>
        </w:rPr>
        <w:t xml:space="preserve">; </w:t>
      </w:r>
      <w:r>
        <w:rPr>
          <w:b/>
          <w:bCs/>
          <w:u w:val="single"/>
        </w:rPr>
        <w:t>however</w:t>
      </w:r>
      <w:r>
        <w:rPr>
          <w:u w:val="single"/>
        </w:rPr>
        <w:t xml:space="preserve">, </w:t>
      </w:r>
      <w:r>
        <w:rPr>
          <w:b/>
          <w:bCs/>
          <w:u w:val="single"/>
        </w:rPr>
        <w:t>the Agreement is clear that ENA is not and will not be subject to the jurisdiction of the MPSC.</w:t>
      </w:r>
      <w:r>
        <w:rPr/>
        <w:t xml:space="preserve">  The initial contract term will be three years beginning November 1, 2001.</w:t>
      </w:r>
    </w:p>
    <w:p>
      <w:pPr>
        <w:pStyle w:val="Heading5"/>
        <w:ind w:hanging="0" w:start="720" w:end="0"/>
        <w:jc w:val="both"/>
        <w:rPr/>
      </w:pPr>
      <w:r>
        <w:rPr/>
        <w:t>Quantity</w:t>
      </w:r>
    </w:p>
    <w:p>
      <w:pPr>
        <w:pStyle w:val="BodyTextIndent3"/>
        <w:spacing w:lineRule="auto" w:line="480"/>
        <w:ind w:start="720" w:end="0"/>
        <w:jc w:val="both"/>
        <w:rPr/>
      </w:pPr>
      <w:r>
        <w:rPr/>
        <w:t xml:space="preserve">ENA provides 100% of MGU’s sales customer requirements each day.  The firm sales quantity is capped at the maximum deliverability of the assets assigned (241,000 MMBtu/d); any requirement above firm cap is served by mutual agreement on terms and price.  If the parties cannot agree, MGU is released to purchase the requirement from a third party supplier.    </w:t>
      </w:r>
    </w:p>
    <w:p>
      <w:pPr>
        <w:pStyle w:val="Heading5"/>
        <w:ind w:hanging="0" w:start="720" w:end="0"/>
        <w:jc w:val="both"/>
        <w:rPr/>
      </w:pPr>
      <w:r>
        <w:rPr/>
        <w:t>Price</w:t>
      </w:r>
    </w:p>
    <w:p>
      <w:pPr>
        <w:pStyle w:val="Normal"/>
        <w:spacing w:lineRule="auto" w:line="480"/>
        <w:ind w:start="720" w:end="0"/>
        <w:jc w:val="both"/>
        <w:rPr/>
      </w:pPr>
      <w:r>
        <w:rPr/>
        <w:t xml:space="preserve">The base price for all sales volume is the MichCon monthly index as published in Gas Daily, minus $0.01.  MGU expects to swap 50-60% (12-15 BCF) of the purchases to a fixed price each year.  13 BCF has been fixed for the first year of the transaction.  Storage gas will be sold upon injection and delivered to MGU in the winter at no cost.   </w:t>
      </w:r>
    </w:p>
    <w:p>
      <w:pPr>
        <w:pStyle w:val="Heading5"/>
        <w:ind w:hanging="0" w:start="720" w:end="0"/>
        <w:jc w:val="both"/>
        <w:rPr/>
      </w:pPr>
      <w:r>
        <w:rPr/>
        <w:t>Asset Management</w:t>
      </w:r>
    </w:p>
    <w:p>
      <w:pPr>
        <w:pStyle w:val="BodyTextIndent3"/>
        <w:spacing w:lineRule="auto" w:line="480"/>
        <w:ind w:start="720" w:end="0"/>
        <w:jc w:val="both"/>
        <w:rPr/>
      </w:pPr>
      <w:r>
        <w:rPr/>
        <w:t xml:space="preserve">ENA will have full control of the daily dispatch of all assets.  MGU will request the daily purchase quantity and ENA fills the requirement based on economic optimization (within physical operational constraints). </w:t>
      </w:r>
    </w:p>
    <w:p>
      <w:pPr>
        <w:pStyle w:val="Normal"/>
        <w:spacing w:lineRule="auto" w:line="480"/>
        <w:jc w:val="both"/>
        <w:rPr/>
      </w:pPr>
      <w:r>
        <w:rPr/>
      </w:r>
    </w:p>
    <w:p>
      <w:pPr>
        <w:pStyle w:val="Heading7"/>
        <w:ind w:hanging="0" w:start="0"/>
        <w:rPr/>
      </w:pPr>
      <w:r>
        <w:rPr/>
        <w:t>Valuation</w:t>
      </w:r>
    </w:p>
    <w:p>
      <w:pPr>
        <w:pStyle w:val="Normal"/>
        <w:spacing w:lineRule="auto" w:line="480"/>
        <w:jc w:val="both"/>
        <w:rPr/>
      </w:pPr>
      <w:r>
        <w:rPr/>
        <w:t>The initial mark-to-market value of the transaction is $2 million (at bid to offer curve) and is derived from the following components:</w:t>
      </w:r>
    </w:p>
    <w:p>
      <w:pPr>
        <w:pStyle w:val="Heading5"/>
        <w:ind w:hanging="0" w:start="360" w:end="0"/>
        <w:jc w:val="both"/>
        <w:rPr/>
      </w:pPr>
      <w:r>
        <w:rPr/>
        <w:t xml:space="preserve">Transportation  </w:t>
        <w:tab/>
        <w:t>$5.4MM</w:t>
      </w:r>
    </w:p>
    <w:p>
      <w:pPr>
        <w:pStyle w:val="Normal"/>
        <w:spacing w:lineRule="auto" w:line="480"/>
        <w:ind w:start="360" w:end="0"/>
        <w:jc w:val="both"/>
        <w:rPr/>
      </w:pPr>
      <w:r>
        <w:rPr/>
        <w:t>The long haul capacity is valued as a spread option between the field locations and the Michigan delivery locations.</w:t>
      </w:r>
    </w:p>
    <w:p>
      <w:pPr>
        <w:pStyle w:val="Heading5"/>
        <w:ind w:hanging="0" w:start="360" w:end="0"/>
        <w:jc w:val="both"/>
        <w:rPr/>
      </w:pPr>
      <w:r>
        <w:rPr/>
        <w:t>Supply Contract</w:t>
        <w:tab/>
        <w:t>$2MM</w:t>
      </w:r>
    </w:p>
    <w:p>
      <w:pPr>
        <w:pStyle w:val="Normal"/>
        <w:tabs>
          <w:tab w:val="clear" w:pos="720"/>
          <w:tab w:val="left" w:pos="360" w:leader="none"/>
        </w:tabs>
        <w:spacing w:lineRule="auto" w:line="480"/>
        <w:ind w:start="360" w:end="0"/>
        <w:jc w:val="both"/>
        <w:rPr/>
      </w:pPr>
      <w:r>
        <w:rPr/>
        <w:t xml:space="preserve">MGU will assign a long-term supply contract that is deeply in the money against the ENA/MGU contract purchase price. </w:t>
      </w:r>
    </w:p>
    <w:p>
      <w:pPr>
        <w:pStyle w:val="Heading5"/>
        <w:ind w:hanging="0" w:start="360" w:end="0"/>
        <w:jc w:val="both"/>
        <w:rPr>
          <w:bCs/>
        </w:rPr>
      </w:pPr>
      <w:r>
        <w:rPr>
          <w:bCs/>
        </w:rPr>
        <w:t>Storage/Peaking Assets</w:t>
        <w:tab/>
        <w:t>Accrual</w:t>
      </w:r>
    </w:p>
    <w:p>
      <w:pPr>
        <w:pStyle w:val="Normal"/>
        <w:spacing w:lineRule="auto" w:line="480"/>
        <w:ind w:start="360" w:end="0"/>
        <w:jc w:val="both"/>
        <w:rPr/>
      </w:pPr>
      <w:r>
        <w:rPr/>
        <w:t>The physical and financial option value of the storage and peaking assets assigned by MGU.</w:t>
      </w:r>
    </w:p>
    <w:p>
      <w:pPr>
        <w:pStyle w:val="Heading6"/>
        <w:jc w:val="both"/>
        <w:rPr/>
      </w:pPr>
      <w:r>
        <w:rPr/>
        <w:t>Commodity Sales</w:t>
        <w:tab/>
        <w:tab/>
        <w:t>($3MM)</w:t>
      </w:r>
    </w:p>
    <w:p>
      <w:pPr>
        <w:pStyle w:val="BodyTextIndent3"/>
        <w:spacing w:lineRule="auto" w:line="480"/>
        <w:jc w:val="both"/>
        <w:rPr/>
      </w:pPr>
      <w:r>
        <w:rPr/>
        <w:t>ENA discounted sales price as consideration for the transaction.</w:t>
      </w:r>
    </w:p>
    <w:p>
      <w:pPr>
        <w:pStyle w:val="BodyTextIndent3"/>
        <w:spacing w:lineRule="auto" w:line="480"/>
        <w:jc w:val="both"/>
        <w:rPr>
          <w:b/>
          <w:bCs/>
        </w:rPr>
      </w:pPr>
      <w:r>
        <w:rPr>
          <w:b/>
          <w:bCs/>
        </w:rPr>
        <w:t>Options Cost</w:t>
        <w:tab/>
        <w:t>($2MM)</w:t>
      </w:r>
    </w:p>
    <w:p>
      <w:pPr>
        <w:pStyle w:val="BodyTextIndent3"/>
        <w:spacing w:lineRule="auto" w:line="480"/>
        <w:jc w:val="both"/>
        <w:rPr/>
      </w:pPr>
      <w:r>
        <w:rPr/>
        <w:t>ENA buys options (from ENA Desk) to hedge price exposure against load following.</w:t>
      </w:r>
    </w:p>
    <w:p>
      <w:pPr>
        <w:pStyle w:val="BodyTextIndent3"/>
        <w:spacing w:lineRule="auto" w:line="480"/>
        <w:jc w:val="both"/>
        <w:rPr>
          <w:b/>
          <w:bCs/>
        </w:rPr>
      </w:pPr>
      <w:r>
        <w:rPr>
          <w:b/>
          <w:bCs/>
        </w:rPr>
        <w:t>Credit Reserve</w:t>
        <w:tab/>
        <w:t>($0.4)</w:t>
      </w:r>
    </w:p>
    <w:p>
      <w:pPr>
        <w:pStyle w:val="BodyTextIndent3"/>
        <w:spacing w:lineRule="auto" w:line="480"/>
        <w:jc w:val="both"/>
        <w:rPr/>
      </w:pPr>
      <w:r>
        <w:rPr/>
        <w:t>Credit reserve against UtiliCorp United (current rating BBB)</w:t>
      </w:r>
    </w:p>
    <w:p>
      <w:pPr>
        <w:pStyle w:val="BodyTextIndent3"/>
        <w:spacing w:lineRule="auto" w:line="480"/>
        <w:jc w:val="both"/>
        <w:rPr/>
      </w:pPr>
      <w:r>
        <w:rPr/>
      </w:r>
    </w:p>
    <w:p>
      <w:pPr>
        <w:pStyle w:val="Heading7"/>
        <w:ind w:hanging="0" w:start="0"/>
        <w:rPr/>
      </w:pPr>
      <w:r>
        <w:rPr/>
        <w:t>Risks</w:t>
      </w:r>
    </w:p>
    <w:p>
      <w:pPr>
        <w:pStyle w:val="Normal"/>
        <w:spacing w:lineRule="auto" w:line="480"/>
        <w:jc w:val="both"/>
        <w:rPr/>
      </w:pPr>
      <w:r>
        <w:rPr/>
      </w:r>
    </w:p>
    <w:p>
      <w:pPr>
        <w:pStyle w:val="Heading8"/>
        <w:ind w:start="0" w:end="0"/>
        <w:rPr/>
      </w:pPr>
      <w:r>
        <w:rPr/>
        <w:t>Extreme deviations from mean load requirements</w:t>
      </w:r>
    </w:p>
    <w:p>
      <w:pPr>
        <w:pStyle w:val="BodyText3"/>
        <w:rPr/>
      </w:pPr>
      <w:r>
        <w:rPr/>
        <w:t xml:space="preserve">ENA’s forecast model of MGU’s load is based upon a statistical correlation between historical weather and demand.  ENA purchased options to cover a probable quantity of long and short volumes.  These options do not fully hedge the exposure to extreme weather conditions (i.e. peak day demand each day for 151 days of winter, historic low demand each day for 214 days of summer, etc.)    </w:t>
      </w:r>
    </w:p>
    <w:p>
      <w:pPr>
        <w:pStyle w:val="Heading8"/>
        <w:ind w:start="0" w:end="0"/>
        <w:rPr>
          <w:bCs w:val="false"/>
        </w:rPr>
      </w:pPr>
      <w:r>
        <w:rPr>
          <w:bCs w:val="false"/>
        </w:rPr>
        <w:t>Capacity Releases are bid up in the market</w:t>
      </w:r>
    </w:p>
    <w:p>
      <w:pPr>
        <w:pStyle w:val="BodyTextIndent3"/>
        <w:spacing w:lineRule="auto" w:line="480"/>
        <w:ind w:start="0" w:end="0"/>
        <w:jc w:val="both"/>
        <w:rPr/>
      </w:pPr>
      <w:r>
        <w:rPr/>
        <w:t xml:space="preserve">ENA will buy MGU’s firm transportation and storage contracts through the pipeline capacity release market. ENA will be then be reimbursed by MGU an amount equal to the cost of MGU’s current firm transportation demand charges.  If the capacity is bid up in the capacity release market and ENA has to pay more than current rates to secure the capacity, ENA is at risk for the difference.  The releases will be posted on a pre-arranged basis with the special condition that a bid for any part of the capacity must include all of the capacity (including the maximum rate out of the money capacity).  </w:t>
      </w:r>
    </w:p>
    <w:p>
      <w:pPr>
        <w:pStyle w:val="Heading9"/>
        <w:ind w:hanging="0" w:start="0"/>
        <w:rPr/>
      </w:pPr>
      <w:r>
        <w:rPr/>
        <w:t>Liquidity</w:t>
      </w:r>
    </w:p>
    <w:p>
      <w:pPr>
        <w:pStyle w:val="BodyTextIndent3"/>
        <w:spacing w:lineRule="auto" w:line="480"/>
        <w:ind w:start="0" w:end="0"/>
        <w:jc w:val="both"/>
        <w:rPr/>
      </w:pPr>
      <w:r>
        <w:rPr/>
        <w:t xml:space="preserve">As a result of this transaction, ENA will be short the production area basis and long the MGU citygate.  This location is currently not traded and trades as an ANR ML 7 equivalent.  </w:t>
      </w:r>
    </w:p>
    <w:p>
      <w:pPr>
        <w:pStyle w:val="BodyTextIndent3"/>
        <w:spacing w:lineRule="auto" w:line="480"/>
        <w:ind w:start="0" w:end="0"/>
        <w:jc w:val="both"/>
        <w:rPr>
          <w:b/>
        </w:rPr>
      </w:pPr>
      <w:r>
        <w:rPr>
          <w:b/>
        </w:rPr>
        <w:t>Early Termination</w:t>
      </w:r>
    </w:p>
    <w:p>
      <w:pPr>
        <w:pStyle w:val="BodyText3"/>
        <w:rPr/>
      </w:pPr>
      <w:r>
        <w:rPr/>
        <w:t>Per the Gas Purchase and Agency Agreement, MGU has the right to terminate early if ENA fails to deliver the required quantity more than 5 times over the Term.  In such event, MGU would not be responsible for any early termination payment/damages.</w:t>
      </w:r>
    </w:p>
    <w:p>
      <w:pPr>
        <w:pStyle w:val="BodyTextIndent3"/>
        <w:spacing w:lineRule="auto" w:line="480"/>
        <w:ind w:start="0" w:end="0"/>
        <w:jc w:val="both"/>
        <w:rPr>
          <w:b/>
          <w:bCs/>
        </w:rPr>
      </w:pPr>
      <w:r>
        <w:rPr>
          <w:b/>
          <w:bCs/>
        </w:rPr>
        <w:t>Regulatory Out</w:t>
      </w:r>
    </w:p>
    <w:p>
      <w:pPr>
        <w:pStyle w:val="BodyTextIndent3"/>
        <w:spacing w:lineRule="auto" w:line="480"/>
        <w:ind w:start="0" w:end="0"/>
        <w:jc w:val="both"/>
        <w:rPr/>
      </w:pPr>
      <w:r>
        <w:rPr/>
        <w:t>MGU may terminate the contract if the Michigan Public Service Commission prohibits any of the Transaction or orders material changes to the Transaction.  Since the Transaction is primarily a gas supply transaction and MGU will continue to be in the business of contracting for supply, ENA deems the risk of disallowance to be remote.  MGU will bear the risk of Commission disallowance of certain costs in their annual review.  In the unlikely event of termination, a termination payment would be made to ENA for any costs to unwind positions.</w:t>
      </w:r>
    </w:p>
    <w:p>
      <w:pPr>
        <w:pStyle w:val="BodyTextIndent3"/>
        <w:spacing w:lineRule="auto" w:line="480"/>
        <w:jc w:val="both"/>
        <w:rPr/>
      </w:pPr>
      <w:r>
        <w:rPr/>
      </w:r>
    </w:p>
    <w:p>
      <w:pPr>
        <w:pStyle w:val="Heading7"/>
        <w:ind w:hanging="0" w:start="0"/>
        <w:rPr/>
      </w:pPr>
      <w:r>
        <w:rPr/>
        <w:t>Customer Information</w:t>
      </w:r>
    </w:p>
    <w:p>
      <w:pPr>
        <w:pStyle w:val="Normal"/>
        <w:spacing w:lineRule="auto" w:line="480"/>
        <w:jc w:val="both"/>
        <w:rPr/>
      </w:pPr>
      <w:r>
        <w:rPr/>
        <w:t>UtiliCorp United Inc., based in Kansas City, is an investor-owned holding company consisting of three main business lines:  electric and gas utility distribution, merchant energy marketing and trading, and energy services.  The domestic distribution unit operates through seven divisions serving 1.2 million gas and electric utility customers in seven states.  On a consolidated basis, UtiliCorp assets totaled $13.2 billion at June 30, 2001, with revenues of $29 billion and net income of $207 million for the 12-month period ended December 31, 2000. The transaction will involve the Michigan division, Michigan Gas Utilities (MGU), which is a regulated gas distribution utility.</w:t>
      </w:r>
    </w:p>
    <w:p>
      <w:pPr>
        <w:pStyle w:val="Normal"/>
        <w:spacing w:lineRule="auto" w:line="480"/>
        <w:jc w:val="both"/>
        <w:rPr/>
      </w:pPr>
      <w:r>
        <w:rPr/>
      </w:r>
    </w:p>
    <w:p>
      <w:pPr>
        <w:pStyle w:val="BodyText3"/>
        <w:rPr/>
      </w:pPr>
      <w:r>
        <w:rPr/>
        <w:t xml:space="preserve">MGU serves approximately 155,000 residential, commercial and industrial customers across a largely rural area in southern Michigan.  The largest urban area within the service territory is the city of Monroe (population 30,000). System sales average 24 billion cubic feet per year of which 70% is residential load. MGU has contracted for 92,000 MMBtu/d of firm pipeline transportation, 3.5 BCF of firm pipeline storage capacity, and the company owns 3.2 BCF of on-system storage.  </w:t>
      </w:r>
      <w:r>
        <w:br w:type="page"/>
      </w:r>
    </w:p>
    <w:p>
      <w:pPr>
        <w:pStyle w:val="BodyText3"/>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440"/>
        </w:tabs>
        <w:ind w:start="360" w:firstLine="720"/>
      </w:pPr>
      <w:rPr>
        <w:rFonts w:ascii="Wingdings" w:hAnsi="Wingdings" w:cs="Wingdings" w:hint="default"/>
      </w:rPr>
    </w:lvl>
  </w:abstractNum>
  <w:abstractNum w:abstractNumId="4">
    <w:lvl w:ilvl="0">
      <w:start w:val="1"/>
      <w:numFmt w:val="bullet"/>
      <w:lvlText w:val=""/>
      <w:lvlJc w:val="start"/>
      <w:pPr>
        <w:tabs>
          <w:tab w:val="num" w:pos="648"/>
        </w:tabs>
        <w:ind w:start="360" w:hanging="72"/>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sz w:val="24"/>
    </w:rPr>
  </w:style>
  <w:style w:type="paragraph" w:styleId="Heading2">
    <w:name w:val="heading 2"/>
    <w:basedOn w:val="Normal"/>
    <w:next w:val="Normal"/>
    <w:qFormat/>
    <w:pPr>
      <w:keepNext w:val="true"/>
      <w:numPr>
        <w:ilvl w:val="1"/>
        <w:numId w:val="1"/>
      </w:numPr>
      <w:spacing w:lineRule="auto" w:line="480"/>
      <w:outlineLvl w:val="1"/>
    </w:pPr>
    <w:rPr>
      <w:b/>
      <w:sz w:val="24"/>
      <w:u w:val="single"/>
    </w:rPr>
  </w:style>
  <w:style w:type="paragraph" w:styleId="Heading3">
    <w:name w:val="heading 3"/>
    <w:basedOn w:val="Normal"/>
    <w:next w:val="Normal"/>
    <w:qFormat/>
    <w:pPr>
      <w:keepNext w:val="true"/>
      <w:numPr>
        <w:ilvl w:val="2"/>
        <w:numId w:val="1"/>
      </w:numPr>
      <w:spacing w:lineRule="auto" w:line="480"/>
      <w:outlineLvl w:val="2"/>
    </w:pPr>
    <w:rPr>
      <w:b/>
      <w:sz w:val="28"/>
      <w:u w:val="single"/>
    </w:rPr>
  </w:style>
  <w:style w:type="paragraph" w:styleId="Heading4">
    <w:name w:val="heading 4"/>
    <w:basedOn w:val="Normal"/>
    <w:next w:val="Normal"/>
    <w:qFormat/>
    <w:pPr>
      <w:keepNext w:val="true"/>
      <w:numPr>
        <w:ilvl w:val="3"/>
        <w:numId w:val="1"/>
      </w:numPr>
      <w:outlineLvl w:val="3"/>
    </w:pPr>
    <w:rPr>
      <w:b/>
      <w:sz w:val="32"/>
      <w:u w:val="single"/>
    </w:rPr>
  </w:style>
  <w:style w:type="paragraph" w:styleId="Heading5">
    <w:name w:val="heading 5"/>
    <w:basedOn w:val="Normal"/>
    <w:next w:val="Normal"/>
    <w:qFormat/>
    <w:pPr>
      <w:keepNext w:val="true"/>
      <w:numPr>
        <w:ilvl w:val="4"/>
        <w:numId w:val="1"/>
      </w:numPr>
      <w:spacing w:lineRule="auto" w:line="480"/>
      <w:outlineLvl w:val="4"/>
    </w:pPr>
    <w:rPr>
      <w:b/>
    </w:rPr>
  </w:style>
  <w:style w:type="paragraph" w:styleId="Heading6">
    <w:name w:val="heading 6"/>
    <w:basedOn w:val="Normal"/>
    <w:next w:val="Normal"/>
    <w:qFormat/>
    <w:pPr>
      <w:keepNext w:val="true"/>
      <w:numPr>
        <w:ilvl w:val="5"/>
        <w:numId w:val="1"/>
      </w:numPr>
      <w:spacing w:lineRule="auto" w:line="480"/>
      <w:ind w:hanging="0" w:start="360" w:end="0"/>
      <w:outlineLvl w:val="5"/>
    </w:pPr>
    <w:rPr>
      <w:b/>
      <w:bCs/>
    </w:rPr>
  </w:style>
  <w:style w:type="paragraph" w:styleId="Heading7">
    <w:name w:val="heading 7"/>
    <w:basedOn w:val="Normal"/>
    <w:next w:val="Normal"/>
    <w:qFormat/>
    <w:pPr>
      <w:keepNext w:val="true"/>
      <w:numPr>
        <w:ilvl w:val="6"/>
        <w:numId w:val="1"/>
      </w:numPr>
      <w:spacing w:lineRule="auto" w:line="480"/>
      <w:jc w:val="center"/>
      <w:outlineLvl w:val="6"/>
    </w:pPr>
    <w:rPr>
      <w:b/>
      <w:sz w:val="24"/>
    </w:rPr>
  </w:style>
  <w:style w:type="paragraph" w:styleId="Heading8">
    <w:name w:val="heading 8"/>
    <w:basedOn w:val="Normal"/>
    <w:next w:val="Normal"/>
    <w:qFormat/>
    <w:pPr>
      <w:keepNext w:val="true"/>
      <w:numPr>
        <w:ilvl w:val="7"/>
        <w:numId w:val="1"/>
      </w:numPr>
      <w:spacing w:lineRule="auto" w:line="480"/>
      <w:ind w:hanging="0" w:start="360" w:end="0"/>
      <w:jc w:val="both"/>
      <w:outlineLvl w:val="7"/>
    </w:pPr>
    <w:rPr>
      <w:b/>
      <w:bCs/>
    </w:rPr>
  </w:style>
  <w:style w:type="paragraph" w:styleId="Heading9">
    <w:name w:val="heading 9"/>
    <w:basedOn w:val="Normal"/>
    <w:next w:val="Normal"/>
    <w:qFormat/>
    <w:pPr>
      <w:keepNext w:val="true"/>
      <w:numPr>
        <w:ilvl w:val="8"/>
        <w:numId w:val="1"/>
      </w:numPr>
      <w:spacing w:lineRule="auto" w:line="480"/>
      <w:jc w:val="both"/>
      <w:outlineLvl w:val="8"/>
    </w:pPr>
    <w:rPr>
      <w:b/>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jc w:val="both"/>
    </w:pPr>
    <w:rPr>
      <w:sz w:val="24"/>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1800" w:end="0"/>
    </w:pPr>
    <w:rPr>
      <w:sz w:val="24"/>
    </w:rPr>
  </w:style>
  <w:style w:type="paragraph" w:styleId="BodyTextIndent2">
    <w:name w:val="Body Text Indent 2"/>
    <w:basedOn w:val="Normal"/>
    <w:qFormat/>
    <w:pPr>
      <w:spacing w:lineRule="auto" w:line="480"/>
      <w:ind w:hanging="0" w:start="1440" w:end="0"/>
    </w:pPr>
    <w:rPr>
      <w:sz w:val="24"/>
    </w:rPr>
  </w:style>
  <w:style w:type="paragraph" w:styleId="BodyText2">
    <w:name w:val="Body Text 2"/>
    <w:basedOn w:val="Normal"/>
    <w:qFormat/>
    <w:pPr>
      <w:spacing w:lineRule="auto" w:line="480"/>
    </w:pPr>
    <w:rPr>
      <w:sz w:val="24"/>
    </w:rPr>
  </w:style>
  <w:style w:type="paragraph" w:styleId="BodyTextIndent3">
    <w:name w:val="Body Text Indent 3"/>
    <w:basedOn w:val="Normal"/>
    <w:qFormat/>
    <w:pPr>
      <w:ind w:hanging="0" w:start="360" w:end="0"/>
    </w:pPr>
    <w:rPr/>
  </w:style>
  <w:style w:type="paragraph" w:styleId="ListBullet2">
    <w:name w:val="List Bullet 2"/>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BodyText3">
    <w:name w:val="Body Text 3"/>
    <w:basedOn w:val="Normal"/>
    <w:qFormat/>
    <w:pPr>
      <w:spacing w:lineRule="auto" w:line="48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2001-09-28T14:32:00Z</dcterms:created>
  <dc:creator>Carmella Jones</dc:creator>
  <dc:description/>
  <dc:language>en-CA</dc:language>
  <cp:lastModifiedBy>lluce</cp:lastModifiedBy>
  <cp:lastPrinted>2001-09-24T10:09:00Z</cp:lastPrinted>
  <dcterms:modified xsi:type="dcterms:W3CDTF">2001-09-28T14:35:00Z</dcterms:modified>
  <cp:revision>3</cp:revision>
  <dc:subject/>
  <dc:title>The valuation of Aruba is derived from both mark to market and accrual earnings</dc:title>
</cp:coreProperties>
</file>