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wmf" ContentType="image/x-wmf"/>
  <Override PartName="/word/embeddings/oleObject1.xlsx" ContentType="application/vnd.openxmlformats-officedocument.spreadsheetml.shee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sz w:val="20"/>
          <w:lang w:val="en-CA" w:eastAsia="en-CA"/>
        </w:rPr>
      </w:pPr>
      <w:r>
        <w:rPr>
          <w:sz w:val="20"/>
          <w:lang w:val="en-CA" w:eastAsia="en-CA"/>
        </w:rPr>
        <w:drawing>
          <wp:anchor behindDoc="0" distT="0" distB="0" distL="114935" distR="114935" simplePos="0" locked="0" layoutInCell="0" allowOverlap="1" relativeHeight="6">
            <wp:simplePos x="0" y="0"/>
            <wp:positionH relativeFrom="column">
              <wp:posOffset>474980</wp:posOffset>
            </wp:positionH>
            <wp:positionV relativeFrom="paragraph">
              <wp:posOffset>455295</wp:posOffset>
            </wp:positionV>
            <wp:extent cx="4749800" cy="967740"/>
            <wp:effectExtent l="0" t="0" r="0" b="0"/>
            <wp:wrapTopAndBottom/>
            <wp:docPr id="1" name="mgb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b_logo" descr="" title=""/>
                    <pic:cNvPicPr>
                      <a:picLocks noChangeAspect="1" noChangeArrowheads="1"/>
                    </pic:cNvPicPr>
                  </pic:nvPicPr>
                  <pic:blipFill>
                    <a:blip r:embed="rId2"/>
                    <a:srcRect l="-6" t="-35" r="-6" b="-35"/>
                    <a:stretch>
                      <a:fillRect/>
                    </a:stretch>
                  </pic:blipFill>
                  <pic:spPr bwMode="auto">
                    <a:xfrm>
                      <a:off x="0" y="0"/>
                      <a:ext cx="4749800" cy="967740"/>
                    </a:xfrm>
                    <a:prstGeom prst="rect">
                      <a:avLst/>
                    </a:prstGeom>
                    <a:noFill/>
                  </pic:spPr>
                </pic:pic>
              </a:graphicData>
            </a:graphic>
          </wp:anchor>
        </w:drawing>
      </w:r>
    </w:p>
    <w:p>
      <w:pPr>
        <w:pStyle w:val="BodyText"/>
        <w:rPr>
          <w:sz w:val="20"/>
          <w:lang w:val="en-CA" w:eastAsia="en-CA"/>
        </w:rPr>
      </w:pPr>
      <w:r>
        <w:rPr>
          <w:sz w:val="20"/>
          <w:lang w:val="en-CA" w:eastAsia="en-CA"/>
        </w:rPr>
        <mc:AlternateContent>
          <mc:Choice Requires="wps">
            <w:drawing>
              <wp:anchor behindDoc="0" distT="0" distB="0" distL="114935" distR="114935" simplePos="0" locked="0" layoutInCell="1" allowOverlap="1" relativeHeight="4">
                <wp:simplePos x="0" y="0"/>
                <wp:positionH relativeFrom="column">
                  <wp:posOffset>4987290</wp:posOffset>
                </wp:positionH>
                <wp:positionV relativeFrom="paragraph">
                  <wp:posOffset>929640</wp:posOffset>
                </wp:positionV>
                <wp:extent cx="949960" cy="403225"/>
                <wp:effectExtent l="0" t="635" r="0" b="0"/>
                <wp:wrapNone/>
                <wp:docPr id="2" name=""/>
                <a:graphic xmlns:a="http://schemas.openxmlformats.org/drawingml/2006/main">
                  <a:graphicData uri="http://schemas.microsoft.com/office/word/2010/wordprocessingShape">
                    <wps:wsp>
                      <wps:cNvSpPr/>
                      <wps:spPr>
                        <a:xfrm>
                          <a:off x="0" y="0"/>
                          <a:ext cx="950040" cy="4032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392.7pt;margin-top:73.2pt;width:74.75pt;height:31.7pt;mso-wrap-style:none;v-text-anchor:middle">
                <v:fill o:detectmouseclick="t" type="solid" color2="black"/>
                <v:stroke color="#3465a4" joinstyle="round" endcap="flat"/>
                <w10:wrap type="none"/>
              </v:rect>
            </w:pict>
          </mc:Fallback>
        </mc:AlternateContent>
      </w:r>
    </w:p>
    <w:p>
      <w:pPr>
        <w:pStyle w:val="BodyText"/>
        <w:rPr>
          <w:sz w:val="20"/>
          <w:lang w:val="en-CA" w:eastAsia="en-CA"/>
        </w:rPr>
      </w:pPr>
      <w:r>
        <w:rPr>
          <w:sz w:val="20"/>
          <w:lang w:val="en-CA" w:eastAsia="en-CA"/>
        </w:rPr>
        <mc:AlternateContent>
          <mc:Choice Requires="wps">
            <w:drawing>
              <wp:anchor behindDoc="0" distT="0" distB="0" distL="114935" distR="114300" simplePos="0" locked="0" layoutInCell="1" allowOverlap="1" relativeHeight="5">
                <wp:simplePos x="0" y="0"/>
                <wp:positionH relativeFrom="column">
                  <wp:posOffset>4868545</wp:posOffset>
                </wp:positionH>
                <wp:positionV relativeFrom="paragraph">
                  <wp:posOffset>839470</wp:posOffset>
                </wp:positionV>
                <wp:extent cx="118745" cy="241935"/>
                <wp:effectExtent l="635" t="635" r="0" b="0"/>
                <wp:wrapNone/>
                <wp:docPr id="3" name=""/>
                <a:graphic xmlns:a="http://schemas.openxmlformats.org/drawingml/2006/main">
                  <a:graphicData uri="http://schemas.microsoft.com/office/word/2010/wordprocessingShape">
                    <wps:wsp>
                      <wps:cNvSpPr/>
                      <wps:spPr>
                        <a:xfrm>
                          <a:off x="0" y="0"/>
                          <a:ext cx="118800" cy="24192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383.35pt;margin-top:66.1pt;width:9.3pt;height:19pt;mso-wrap-style:none;v-text-anchor:middle">
                <v:fill o:detectmouseclick="t" type="solid" color2="black"/>
                <v:stroke color="#3465a4" joinstyle="round" endcap="flat"/>
                <w10:wrap type="none"/>
              </v:rect>
            </w:pict>
          </mc:Fallback>
        </mc:AlternateContent>
      </w:r>
    </w:p>
    <w:p>
      <w:pPr>
        <w:pStyle w:val="BodyText"/>
        <w:rPr/>
      </w:pPr>
      <w:r>
        <w:rPr/>
      </w:r>
    </w:p>
    <w:p>
      <w:pPr>
        <w:pStyle w:val="BodyText"/>
        <w:jc w:val="center"/>
        <w:rPr>
          <w:rFonts w:ascii="Verdana" w:hAnsi="Verdana" w:cs="Verdana"/>
          <w:sz w:val="40"/>
        </w:rPr>
      </w:pPr>
      <w:r>
        <w:rPr>
          <w:rFonts w:cs="Verdana" w:ascii="Verdana" w:hAnsi="Verdana"/>
          <w:sz w:val="40"/>
        </w:rPr>
      </w:r>
    </w:p>
    <w:p>
      <w:pPr>
        <w:pStyle w:val="BodyText"/>
        <w:jc w:val="center"/>
        <w:rPr>
          <w:rFonts w:ascii="Verdana" w:hAnsi="Verdana" w:cs="Verdana"/>
          <w:sz w:val="40"/>
        </w:rPr>
      </w:pPr>
      <w:r>
        <w:rPr>
          <w:rFonts w:cs="Verdana" w:ascii="Verdana" w:hAnsi="Verdana"/>
          <w:sz w:val="40"/>
        </w:rPr>
      </w:r>
    </w:p>
    <w:p>
      <w:pPr>
        <w:pStyle w:val="BodyText"/>
        <w:jc w:val="center"/>
        <w:rPr>
          <w:rFonts w:ascii="Verdana" w:hAnsi="Verdana" w:cs="Verdana"/>
          <w:sz w:val="40"/>
        </w:rPr>
      </w:pPr>
      <w:r>
        <w:rPr>
          <w:rFonts w:cs="Verdana" w:ascii="Verdana" w:hAnsi="Verdana"/>
          <w:sz w:val="40"/>
        </w:rPr>
        <w:t>Business Overview</w:t>
      </w:r>
    </w:p>
    <w:p>
      <w:pPr>
        <w:pStyle w:val="BodyText"/>
        <w:rPr>
          <w:rFonts w:ascii="Verdana" w:hAnsi="Verdana" w:cs="Verdana"/>
          <w:sz w:val="40"/>
        </w:rPr>
      </w:pPr>
      <w:r>
        <w:rPr>
          <w:rFonts w:cs="Verdana" w:ascii="Verdana" w:hAnsi="Verdana"/>
          <w:sz w:val="40"/>
        </w:rPr>
      </w:r>
    </w:p>
    <w:p>
      <w:pPr>
        <w:pStyle w:val="BodyText"/>
        <w:spacing w:before="0" w:after="0"/>
        <w:jc w:val="center"/>
        <w:rPr>
          <w:b/>
          <w:bCs/>
        </w:rPr>
      </w:pPr>
      <w:r>
        <w:rPr>
          <w:b/>
          <w:bCs/>
        </w:rPr>
        <w:t>April 7, 2001</w:t>
      </w:r>
    </w:p>
    <w:p>
      <w:pPr>
        <w:pStyle w:val="BodyText"/>
        <w:spacing w:before="0" w:after="0"/>
        <w:rPr>
          <w:b/>
          <w:bCs/>
        </w:rPr>
      </w:pPr>
      <w:r>
        <w:rPr>
          <w:b/>
          <w:bCs/>
        </w:rPr>
      </w:r>
    </w:p>
    <w:p>
      <w:pPr>
        <w:pStyle w:val="BodyText"/>
        <w:spacing w:before="0" w:after="0"/>
        <w:rPr>
          <w:b/>
          <w:bCs/>
        </w:rPr>
      </w:pPr>
      <w:r>
        <w:rPr>
          <w:b/>
          <w:bCs/>
        </w:rPr>
      </w:r>
    </w:p>
    <w:p>
      <w:pPr>
        <w:pStyle w:val="BodyText"/>
        <w:spacing w:before="0" w:after="0"/>
        <w:rPr>
          <w:b/>
          <w:bCs/>
        </w:rPr>
      </w:pPr>
      <w:r>
        <w:rPr>
          <w:b/>
          <w:bCs/>
        </w:rPr>
      </w:r>
    </w:p>
    <w:p>
      <w:pPr>
        <w:pStyle w:val="BodyText"/>
        <w:spacing w:before="0" w:after="0"/>
        <w:rPr>
          <w:b/>
          <w:bCs/>
        </w:rPr>
      </w:pPr>
      <w:r>
        <w:rPr>
          <w:b/>
          <w:bCs/>
        </w:rPr>
        <w:t>Contact:</w:t>
      </w:r>
    </w:p>
    <w:p>
      <w:pPr>
        <w:pStyle w:val="BodyText"/>
        <w:spacing w:before="0" w:after="0"/>
        <w:rPr/>
      </w:pPr>
      <w:r>
        <w:rPr/>
        <w:t>J.P. Monteverde, III</w:t>
      </w:r>
    </w:p>
    <w:p>
      <w:pPr>
        <w:pStyle w:val="BodyText"/>
        <w:spacing w:before="0" w:after="0"/>
        <w:rPr/>
      </w:pPr>
      <w:r>
        <w:rPr/>
        <w:t>President and CEO</w:t>
      </w:r>
    </w:p>
    <w:p>
      <w:pPr>
        <w:pStyle w:val="BodyText"/>
        <w:spacing w:before="0" w:after="0"/>
        <w:rPr/>
      </w:pPr>
      <w:r>
        <w:rPr/>
        <w:t>281-493-3367 tel.</w:t>
      </w:r>
    </w:p>
    <w:p>
      <w:pPr>
        <w:pStyle w:val="BodyText"/>
        <w:spacing w:before="0" w:after="0"/>
        <w:rPr/>
      </w:pPr>
      <w:hyperlink r:id="rId3">
        <w:r>
          <w:rPr>
            <w:rStyle w:val="Hyperlink"/>
          </w:rPr>
          <w:t>jp@mygiveback.com</w:t>
        </w:r>
      </w:hyperlink>
    </w:p>
    <w:p>
      <w:pPr>
        <w:pStyle w:val="Normal"/>
        <w:tabs>
          <w:tab w:val="clear" w:pos="720"/>
          <w:tab w:val="left" w:pos="2610" w:leader="none"/>
          <w:tab w:val="right" w:pos="4320" w:leader="none"/>
        </w:tabs>
        <w:rPr/>
      </w:pPr>
      <w:r>
        <w:rPr/>
      </w:r>
    </w:p>
    <w:p>
      <w:pPr>
        <w:pStyle w:val="Normal"/>
        <w:tabs>
          <w:tab w:val="clear" w:pos="720"/>
          <w:tab w:val="left" w:pos="2610" w:leader="none"/>
          <w:tab w:val="right" w:pos="4320" w:leader="none"/>
        </w:tabs>
        <w:rPr/>
      </w:pPr>
      <w:r>
        <w:rPr/>
      </w:r>
    </w:p>
    <w:p>
      <w:pPr>
        <w:pStyle w:val="Normal"/>
        <w:tabs>
          <w:tab w:val="clear" w:pos="720"/>
          <w:tab w:val="left" w:pos="2610" w:leader="none"/>
          <w:tab w:val="right" w:pos="4320" w:leader="none"/>
        </w:tabs>
        <w:rPr/>
      </w:pPr>
      <w:r>
        <w:rPr/>
      </w:r>
    </w:p>
    <w:p>
      <w:pPr>
        <w:pStyle w:val="Normal"/>
        <w:tabs>
          <w:tab w:val="clear" w:pos="720"/>
          <w:tab w:val="left" w:pos="2610" w:leader="none"/>
          <w:tab w:val="right" w:pos="4320" w:leader="none"/>
        </w:tabs>
        <w:rPr/>
      </w:pPr>
      <w:r>
        <w:rPr/>
      </w:r>
    </w:p>
    <w:p>
      <w:pPr>
        <w:pStyle w:val="Normal"/>
        <w:tabs>
          <w:tab w:val="clear" w:pos="720"/>
          <w:tab w:val="left" w:pos="2610" w:leader="none"/>
          <w:tab w:val="right" w:pos="4320" w:leader="none"/>
        </w:tabs>
        <w:jc w:val="center"/>
        <w:rPr/>
      </w:pPr>
      <w:r>
        <w:rPr/>
      </w:r>
    </w:p>
    <w:p>
      <w:pPr>
        <w:pStyle w:val="Normal"/>
        <w:tabs>
          <w:tab w:val="clear" w:pos="720"/>
          <w:tab w:val="left" w:pos="2610" w:leader="none"/>
          <w:tab w:val="right" w:pos="4320" w:leader="none"/>
        </w:tabs>
        <w:jc w:val="center"/>
        <w:rPr/>
      </w:pPr>
      <w:r>
        <w:rPr/>
        <w:t>DISCLAIMER/CONFIDENTIALITY NOTICE</w:t>
      </w:r>
    </w:p>
    <w:p>
      <w:pPr>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pStyle w:val="Normal"/>
        <w:rPr>
          <w:sz w:val="16"/>
        </w:rPr>
      </w:pPr>
      <w:r>
        <w:rPr>
          <w:sz w:val="16"/>
        </w:rPr>
        <w:t>This Confidential Business Overview is intended solely for the person to whom it was delivered by MyGiveBack, Inc.  It may not be reproduced or distributed to any other party without the express written consent of MyGiveBack, Inc. The contents herein are for general information purposes only, subject to change without notice.  Financial data are preliminary projections only.  No warranties or representations are expressed or should be implied.  This is not an offer of securities.  This business overview contains information of a confidential nature which is intended solely for investors, prospective investors, and/or their legal and/or financial counselors or representatives.  Use of this information for any other purpose is forbidden.</w:t>
      </w:r>
    </w:p>
    <w:p>
      <w:pPr>
        <w:pStyle w:val="Heading1"/>
        <w:ind w:hanging="0" w:start="0"/>
        <w:jc w:val="center"/>
        <w:rPr>
          <w:color w:val="3366FF"/>
        </w:rPr>
      </w:pPr>
      <w:r>
        <w:rPr>
          <w:color w:val="3366FF"/>
        </w:rPr>
        <w:t>Business Overview</w:t>
      </w:r>
    </w:p>
    <w:p>
      <w:pPr>
        <w:pStyle w:val="Heading2"/>
        <w:spacing w:before="120" w:after="0"/>
        <w:ind w:hanging="0" w:start="0"/>
        <w:rPr>
          <w:color w:val="3366FF"/>
          <w:sz w:val="25"/>
        </w:rPr>
      </w:pPr>
      <w:r>
        <w:rPr>
          <w:color w:val="3366FF"/>
          <w:sz w:val="25"/>
        </w:rPr>
      </w:r>
    </w:p>
    <w:p>
      <w:pPr>
        <w:pStyle w:val="Heading2"/>
        <w:spacing w:before="120" w:after="0"/>
        <w:ind w:hanging="0" w:start="0"/>
        <w:rPr>
          <w:sz w:val="25"/>
        </w:rPr>
      </w:pPr>
      <w:r>
        <w:rPr>
          <w:sz w:val="25"/>
        </w:rPr>
        <w:t>Overview</w:t>
      </w:r>
    </w:p>
    <w:p>
      <w:pPr>
        <w:pStyle w:val="Normal"/>
        <w:rPr/>
      </w:pPr>
      <w:r>
        <w:rPr>
          <w:sz w:val="25"/>
        </w:rPr>
        <w:t>MyGiveBack, Inc. (“MGB”) is an affinity marketing company for community-based, non-profit organizations.  MGB allows businesses and individuals to contribute to their charities simply by making purchases with participating merchants.  MGB recognizes qualifying sales when consumers: (1) use the MyGiveBack Loyalty Card</w:t>
      </w:r>
      <w:r>
        <w:rPr>
          <w:rFonts w:eastAsia="Symbol" w:cs="Symbol" w:ascii="Symbol" w:hAnsi="Symbol"/>
          <w:sz w:val="25"/>
          <w:vertAlign w:val="superscript"/>
        </w:rPr>
        <w:sym w:font="Symbol" w:char="f0d2"/>
      </w:r>
      <w:r>
        <w:rPr>
          <w:sz w:val="25"/>
        </w:rPr>
        <w:t>; (2) use any credit card or merchant loyalty card which the consumer registers with MGB; or (3) trade through the MGB “Mall” (MyGiveBack.com web site).  Participating merchants will donate a portion of every purchase an individual or business makes through any of these methods.  Donations are in addition to (not in lieu of) any other consumer benefits (airline miles, hotel points, etc.).</w:t>
      </w:r>
    </w:p>
    <w:p>
      <w:pPr>
        <w:pStyle w:val="Normal"/>
        <w:spacing w:before="120" w:after="0"/>
        <w:jc w:val="both"/>
        <w:rPr>
          <w:sz w:val="25"/>
        </w:rPr>
      </w:pPr>
      <w:r>
        <w:rPr>
          <w:sz w:val="25"/>
        </w:rPr>
        <w:t>MGB, in partnership with IFS International Holdings, Inc. (“IFS”), has the point-of-sale and financial transaction processing infrastructure to enable MGB’s programs with merchants and organizations world-wide.  MGB’s program is extremely well suited to countries having strong cultural or religious giving traditions.  MGB’s management has strong business relationships with merchants in the U.S., Europe, the Middle East, and the Far East.</w:t>
      </w:r>
    </w:p>
    <w:p>
      <w:pPr>
        <w:pStyle w:val="Normal"/>
        <w:jc w:val="both"/>
        <w:rPr>
          <w:sz w:val="25"/>
        </w:rPr>
      </w:pPr>
      <w:r>
        <w:rPr>
          <w:sz w:val="25"/>
        </w:rPr>
      </w:r>
    </w:p>
    <w:p>
      <w:pPr>
        <w:pStyle w:val="Heading2"/>
        <w:ind w:hanging="0" w:start="0"/>
        <w:rPr>
          <w:sz w:val="25"/>
        </w:rPr>
      </w:pPr>
      <w:r>
        <w:rPr>
          <w:sz w:val="25"/>
        </w:rPr>
        <w:t>The Problem</w:t>
      </w:r>
    </w:p>
    <w:p>
      <w:pPr>
        <w:pStyle w:val="Normal"/>
        <w:rPr>
          <w:sz w:val="25"/>
        </w:rPr>
      </w:pPr>
      <w:r>
        <w:rPr>
          <w:sz w:val="25"/>
        </w:rPr>
        <w:t>Non-profit organizations face the constant challenge of raising money.  Large organizations like the United Way have strong corporate relationships and broad community exposure.  Smaller charitable and civic groups cannot effectively lever the value of their memberships to raise money through the business community.  For example, banks will not issue affinity credit cards for an organization with fewer than 40,000 members.  As a result, small organizations usually rely on the goodwill of their members for direct contributions of money, goods, and labor.</w:t>
      </w:r>
    </w:p>
    <w:p>
      <w:pPr>
        <w:pStyle w:val="Normal"/>
        <w:spacing w:before="120" w:after="0"/>
        <w:jc w:val="both"/>
        <w:rPr>
          <w:sz w:val="25"/>
        </w:rPr>
      </w:pPr>
      <w:r>
        <w:rPr>
          <w:sz w:val="25"/>
        </w:rPr>
        <w:t>Merchants, large and small, must attract customers in an environment where consumers are overwhelmed with competing messages.  As advertising through traditional media grows less cost effective, new marketing methods present merchants with the risk of expensive failure.</w:t>
      </w:r>
    </w:p>
    <w:p>
      <w:pPr>
        <w:pStyle w:val="Normal"/>
        <w:jc w:val="both"/>
        <w:rPr>
          <w:sz w:val="25"/>
        </w:rPr>
      </w:pPr>
      <w:r>
        <w:rPr>
          <w:sz w:val="25"/>
        </w:rPr>
      </w:r>
    </w:p>
    <w:p>
      <w:pPr>
        <w:pStyle w:val="Heading2"/>
        <w:ind w:hanging="0" w:start="0"/>
        <w:rPr>
          <w:sz w:val="25"/>
        </w:rPr>
      </w:pPr>
      <w:r>
        <w:rPr>
          <w:sz w:val="25"/>
        </w:rPr>
        <w:t>The Solution</w:t>
      </w:r>
    </w:p>
    <w:p>
      <w:pPr>
        <w:pStyle w:val="Normal"/>
        <w:rPr>
          <w:sz w:val="25"/>
        </w:rPr>
      </w:pPr>
      <w:r>
        <w:rPr>
          <w:sz w:val="25"/>
        </w:rPr>
        <w:t>MyGiveBack offers non-profit organizations an effective and unique solution for their fundraising needs.  By partnering with MGB, a non-profit will receive funds every time one of its members makes a purchase from an MGB participating merchant..  This unique approach to fundraising causes minimal imposition on an organization or its members; the charity simply needs to encourage its members to shop at local merchants who accept the MGB Loyalty Card and online at the MGB Mall.  Consumers simply present either their MGB Loyalty Card (or any credit or merchant loyalty card which the consumer has registered with MGB) at the point of sale to record the gift.</w:t>
      </w:r>
    </w:p>
    <w:p>
      <w:pPr>
        <w:pStyle w:val="Normal"/>
        <w:spacing w:before="120" w:after="0"/>
        <w:rPr>
          <w:sz w:val="25"/>
        </w:rPr>
      </w:pPr>
      <w:r>
        <w:rPr>
          <w:sz w:val="25"/>
        </w:rPr>
        <w:t>Unlike any other new marketing program, participating in MGB costs a merchant nothing unless MGB delivers a customer and that customer makes a purchase.</w:t>
      </w:r>
      <w:r>
        <w:br w:type="page"/>
      </w:r>
    </w:p>
    <w:p>
      <w:pPr>
        <w:pStyle w:val="Normal"/>
        <w:spacing w:before="120" w:after="0"/>
        <w:rPr>
          <w:b/>
          <w:bCs/>
        </w:rPr>
      </w:pPr>
      <w:r>
        <w:rPr>
          <w:b/>
          <w:bCs/>
        </w:rPr>
        <w:t>Highlights</w:t>
      </w:r>
    </w:p>
    <w:p>
      <w:pPr>
        <w:pStyle w:val="Normal"/>
        <w:numPr>
          <w:ilvl w:val="0"/>
          <w:numId w:val="5"/>
        </w:numPr>
        <w:tabs>
          <w:tab w:val="clear" w:pos="720"/>
          <w:tab w:val="left" w:pos="360" w:leader="none"/>
        </w:tabs>
        <w:spacing w:before="120" w:after="0"/>
        <w:ind w:hanging="360" w:start="360" w:end="0"/>
        <w:rPr/>
      </w:pPr>
      <w:r>
        <w:rPr>
          <w:u w:val="single"/>
        </w:rPr>
        <w:t>Proven Market</w:t>
      </w:r>
      <w:r>
        <w:rPr/>
        <w:t xml:space="preserve"> </w:t>
      </w:r>
      <w:r>
        <w:rPr>
          <w:rFonts w:eastAsia="Symbol" w:cs="Symbol" w:ascii="Symbol" w:hAnsi="Symbol"/>
        </w:rPr>
        <w:sym w:font="Symbol" w:char="f02d"/>
      </w:r>
      <w:r>
        <w:rPr/>
        <w:t xml:space="preserve"> Affinity marketing has long been one of the most successful ways for financial institutions to attract and retain credit card customers.  Other commodotized services such as long distance reseller Working Assets Long Distance have proven the power of charitable affinity marketing.  Affinity marketing through activation of large number of independent representatives with a simple, powerful opportunity is a proven sales model ideally suited for MGB to recruit merchant and charity participants.</w:t>
      </w:r>
    </w:p>
    <w:p>
      <w:pPr>
        <w:pStyle w:val="Normal"/>
        <w:numPr>
          <w:ilvl w:val="0"/>
          <w:numId w:val="5"/>
        </w:numPr>
        <w:tabs>
          <w:tab w:val="clear" w:pos="720"/>
          <w:tab w:val="left" w:pos="360" w:leader="none"/>
          <w:tab w:val="left" w:pos="1080" w:leader="none"/>
        </w:tabs>
        <w:spacing w:before="120" w:after="0"/>
        <w:ind w:hanging="360" w:start="360" w:end="0"/>
        <w:rPr/>
      </w:pPr>
      <w:r>
        <w:rPr>
          <w:u w:val="single"/>
        </w:rPr>
        <w:t>Unique Business Model with Proprietary Elements</w:t>
      </w:r>
      <w:r>
        <w:rPr/>
        <w:t xml:space="preserve"> </w:t>
      </w:r>
      <w:r>
        <w:rPr>
          <w:rFonts w:eastAsia="Symbol" w:cs="Symbol" w:ascii="Symbol" w:hAnsi="Symbol"/>
        </w:rPr>
        <w:sym w:font="Symbol" w:char="f02d"/>
      </w:r>
      <w:r>
        <w:rPr/>
        <w:t xml:space="preserve"> MGB extends and enhances the proven affinity marketing model by:</w:t>
      </w:r>
    </w:p>
    <w:p>
      <w:pPr>
        <w:pStyle w:val="Normal"/>
        <w:numPr>
          <w:ilvl w:val="1"/>
          <w:numId w:val="4"/>
        </w:numPr>
        <w:tabs>
          <w:tab w:val="clear" w:pos="720"/>
          <w:tab w:val="left" w:pos="1080" w:leader="none"/>
        </w:tabs>
        <w:ind w:hanging="360" w:start="1080" w:end="0"/>
        <w:rPr/>
      </w:pPr>
      <w:r>
        <w:rPr/>
        <w:t xml:space="preserve">enabling consumers to choose their </w:t>
      </w:r>
      <w:r>
        <w:rPr>
          <w:u w:val="single"/>
        </w:rPr>
        <w:t>local</w:t>
      </w:r>
      <w:r>
        <w:rPr/>
        <w:t xml:space="preserve"> charity, church, or school beneficiary;</w:t>
      </w:r>
    </w:p>
    <w:p>
      <w:pPr>
        <w:pStyle w:val="Normal"/>
        <w:numPr>
          <w:ilvl w:val="1"/>
          <w:numId w:val="4"/>
        </w:numPr>
        <w:tabs>
          <w:tab w:val="clear" w:pos="720"/>
          <w:tab w:val="left" w:pos="1080" w:leader="none"/>
        </w:tabs>
        <w:ind w:hanging="360" w:start="1080" w:end="0"/>
        <w:rPr/>
      </w:pPr>
      <w:r>
        <w:rPr/>
        <w:t>providing local, regional, and national merchants with an “off the shelf” affinity marketing program;</w:t>
      </w:r>
    </w:p>
    <w:p>
      <w:pPr>
        <w:pStyle w:val="Normal"/>
        <w:numPr>
          <w:ilvl w:val="1"/>
          <w:numId w:val="4"/>
        </w:numPr>
        <w:tabs>
          <w:tab w:val="clear" w:pos="720"/>
          <w:tab w:val="left" w:pos="1080" w:leader="none"/>
        </w:tabs>
        <w:ind w:hanging="360" w:start="1080" w:end="0"/>
        <w:rPr/>
      </w:pPr>
      <w:r>
        <w:rPr/>
        <w:t xml:space="preserve">enlisting local communities and grassroots membership organizations to create and promote fundraising opportunities </w:t>
      </w:r>
      <w:r>
        <w:rPr>
          <w:rFonts w:eastAsia="Symbol" w:cs="Symbol" w:ascii="Symbol" w:hAnsi="Symbol"/>
        </w:rPr>
        <w:sym w:font="Symbol" w:char="f02d"/>
      </w:r>
      <w:r>
        <w:rPr/>
        <w:t xml:space="preserve"> 501(c)3 status </w:t>
      </w:r>
      <w:r>
        <w:rPr>
          <w:u w:val="single"/>
        </w:rPr>
        <w:t>not</w:t>
      </w:r>
      <w:r>
        <w:rPr/>
        <w:t xml:space="preserve"> required, greatly expanding the pool of eligible organizations;</w:t>
      </w:r>
    </w:p>
    <w:p>
      <w:pPr>
        <w:pStyle w:val="Normal"/>
        <w:numPr>
          <w:ilvl w:val="1"/>
          <w:numId w:val="4"/>
        </w:numPr>
        <w:tabs>
          <w:tab w:val="clear" w:pos="720"/>
          <w:tab w:val="left" w:pos="1080" w:leader="none"/>
        </w:tabs>
        <w:ind w:hanging="360" w:start="1080" w:end="0"/>
        <w:rPr/>
      </w:pPr>
      <w:r>
        <w:rPr/>
        <w:t>empowering all consumers, including lower and middle income, to become donors; and</w:t>
      </w:r>
    </w:p>
    <w:p>
      <w:pPr>
        <w:pStyle w:val="Normal"/>
        <w:numPr>
          <w:ilvl w:val="1"/>
          <w:numId w:val="4"/>
        </w:numPr>
        <w:tabs>
          <w:tab w:val="clear" w:pos="720"/>
          <w:tab w:val="left" w:pos="1080" w:leader="none"/>
        </w:tabs>
        <w:ind w:hanging="360" w:start="1080" w:end="0"/>
        <w:rPr/>
      </w:pPr>
      <w:r>
        <w:rPr/>
        <w:t>employing independent representatives to evangelize the MGB opportunity.</w:t>
      </w:r>
    </w:p>
    <w:p>
      <w:pPr>
        <w:pStyle w:val="Normal"/>
        <w:numPr>
          <w:ilvl w:val="0"/>
          <w:numId w:val="5"/>
        </w:numPr>
        <w:tabs>
          <w:tab w:val="clear" w:pos="720"/>
          <w:tab w:val="left" w:pos="360" w:leader="none"/>
        </w:tabs>
        <w:spacing w:before="120" w:after="0"/>
        <w:ind w:hanging="360" w:start="360" w:end="0"/>
        <w:rPr/>
      </w:pPr>
      <w:r>
        <w:rPr>
          <w:u w:val="single"/>
        </w:rPr>
        <w:t>Leverages Aggregated Consumer Buying Power</w:t>
      </w:r>
      <w:r>
        <w:rPr/>
        <w:t xml:space="preserve"> </w:t>
      </w:r>
      <w:r>
        <w:rPr>
          <w:rFonts w:eastAsia="Symbol" w:cs="Symbol" w:ascii="Symbol" w:hAnsi="Symbol"/>
        </w:rPr>
        <w:sym w:font="Symbol" w:char="f02d"/>
      </w:r>
      <w:r>
        <w:rPr/>
        <w:t xml:space="preserve"> By representing and guiding the buying habits of its consumer members, MGB can create significant bargaining power with respect to merchants.  Although MGB will keep member data confidential, this information, which will include detailed consumer purchase data, will become extremely valuable in support of MGB’s marketing initiatives and MGB’s merchant relationships.</w:t>
      </w:r>
    </w:p>
    <w:p>
      <w:pPr>
        <w:pStyle w:val="Normal"/>
        <w:numPr>
          <w:ilvl w:val="0"/>
          <w:numId w:val="5"/>
        </w:numPr>
        <w:tabs>
          <w:tab w:val="clear" w:pos="720"/>
          <w:tab w:val="left" w:pos="360" w:leader="none"/>
        </w:tabs>
        <w:spacing w:before="120" w:after="0"/>
        <w:ind w:hanging="360" w:start="360" w:end="0"/>
        <w:rPr/>
      </w:pPr>
      <w:r>
        <w:rPr>
          <w:u w:val="single"/>
        </w:rPr>
        <w:t>Ease of Use / Minimal Disruption at Point of Sale</w:t>
      </w:r>
      <w:r>
        <w:rPr/>
        <w:t xml:space="preserve"> </w:t>
      </w:r>
      <w:r>
        <w:rPr>
          <w:rFonts w:eastAsia="Symbol" w:cs="Symbol" w:ascii="Symbol" w:hAnsi="Symbol"/>
        </w:rPr>
        <w:sym w:font="Symbol" w:char="f02d"/>
      </w:r>
      <w:r>
        <w:rPr/>
        <w:t xml:space="preserve"> MGB imposes minimal burden or disruption on the customer shopping and purchase experience.</w:t>
      </w:r>
    </w:p>
    <w:p>
      <w:pPr>
        <w:pStyle w:val="Normal"/>
        <w:numPr>
          <w:ilvl w:val="0"/>
          <w:numId w:val="3"/>
        </w:numPr>
        <w:tabs>
          <w:tab w:val="clear" w:pos="720"/>
          <w:tab w:val="left" w:pos="360" w:leader="none"/>
        </w:tabs>
        <w:spacing w:before="120" w:after="0"/>
        <w:ind w:hanging="360" w:start="360" w:end="0"/>
        <w:rPr/>
      </w:pPr>
      <w:r>
        <w:rPr>
          <w:u w:val="single"/>
        </w:rPr>
        <w:t>Proven Management</w:t>
      </w:r>
      <w:r>
        <w:rPr/>
        <w:t xml:space="preserve"> </w:t>
      </w:r>
      <w:r>
        <w:rPr>
          <w:rFonts w:eastAsia="Symbol" w:cs="Symbol" w:ascii="Symbol" w:hAnsi="Symbol"/>
        </w:rPr>
        <w:sym w:font="Symbol" w:char="f02d"/>
      </w:r>
      <w:r>
        <w:rPr/>
        <w:t xml:space="preserve"> Management has a proven record of success developing marketing programs and recruiting and managing large scale networks of independent sales representatives.</w:t>
      </w:r>
    </w:p>
    <w:p>
      <w:pPr>
        <w:pStyle w:val="Normal"/>
        <w:numPr>
          <w:ilvl w:val="0"/>
          <w:numId w:val="3"/>
        </w:numPr>
        <w:tabs>
          <w:tab w:val="clear" w:pos="720"/>
          <w:tab w:val="left" w:pos="360" w:leader="none"/>
        </w:tabs>
        <w:spacing w:before="120" w:after="0"/>
        <w:ind w:hanging="360" w:start="360" w:end="0"/>
        <w:rPr/>
      </w:pPr>
      <w:r>
        <w:rPr>
          <w:u w:val="single"/>
        </w:rPr>
        <w:t>Low Technology Risk</w:t>
      </w:r>
      <w:r>
        <w:rPr/>
        <w:t xml:space="preserve"> </w:t>
      </w:r>
      <w:r>
        <w:rPr>
          <w:rFonts w:eastAsia="Symbol" w:cs="Symbol" w:ascii="Symbol" w:hAnsi="Symbol"/>
        </w:rPr>
        <w:sym w:font="Symbol" w:char="f02d"/>
      </w:r>
      <w:r>
        <w:rPr/>
        <w:t xml:space="preserve"> MGB employs well-established Internet shopping, data collection, and merchant linking methods.  In-store card reading hardware is in place at all merchants accepting credit cards.  IFS International Holdings, Inc. (“IFS”) is developing customized software required for MGB on a market proprietary basis in exchange for stock in MGB. (See Business Plan.)</w:t>
      </w:r>
    </w:p>
    <w:p>
      <w:pPr>
        <w:pStyle w:val="Normal"/>
        <w:numPr>
          <w:ilvl w:val="0"/>
          <w:numId w:val="3"/>
        </w:numPr>
        <w:tabs>
          <w:tab w:val="clear" w:pos="720"/>
          <w:tab w:val="left" w:pos="360" w:leader="none"/>
        </w:tabs>
        <w:spacing w:before="120" w:after="0"/>
        <w:ind w:hanging="360" w:start="360" w:end="0"/>
        <w:rPr/>
      </w:pPr>
      <w:r>
        <w:rPr>
          <w:u w:val="single"/>
        </w:rPr>
        <w:t>Rapid Profitability Potential</w:t>
      </w:r>
      <w:r>
        <w:rPr/>
        <w:t xml:space="preserve"> </w:t>
      </w:r>
      <w:r>
        <w:rPr>
          <w:rFonts w:eastAsia="Symbol" w:cs="Symbol" w:ascii="Symbol" w:hAnsi="Symbol"/>
        </w:rPr>
        <w:sym w:font="Symbol" w:char="f02d"/>
      </w:r>
      <w:r>
        <w:rPr/>
        <w:t xml:space="preserve"> MGB expects to be profitable within 12 months of commencing operations.  (See Business Plan.)</w:t>
      </w:r>
    </w:p>
    <w:p>
      <w:pPr>
        <w:pStyle w:val="Normal"/>
        <w:numPr>
          <w:ilvl w:val="0"/>
          <w:numId w:val="3"/>
        </w:numPr>
        <w:tabs>
          <w:tab w:val="clear" w:pos="720"/>
          <w:tab w:val="left" w:pos="360" w:leader="none"/>
        </w:tabs>
        <w:spacing w:before="120" w:after="0"/>
        <w:ind w:hanging="360" w:start="360" w:end="0"/>
        <w:rPr/>
      </w:pPr>
      <w:r>
        <w:rPr>
          <w:u w:val="single"/>
        </w:rPr>
        <w:t>Pending Strategic Relationships</w:t>
      </w:r>
      <w:r>
        <w:rPr/>
        <w:t xml:space="preserve"> </w:t>
      </w:r>
      <w:r>
        <w:rPr>
          <w:rFonts w:eastAsia="Symbol" w:cs="Symbol" w:ascii="Symbol" w:hAnsi="Symbol"/>
        </w:rPr>
        <w:sym w:font="Symbol" w:char="f02d"/>
      </w:r>
      <w:r>
        <w:rPr/>
        <w:t xml:space="preserve"> MGB is in discussions with several major national brands to act as key sponsors of the MGB program.</w:t>
      </w:r>
      <w:r>
        <w:br w:type="page"/>
      </w:r>
    </w:p>
    <w:p>
      <w:pPr>
        <w:pStyle w:val="Normal"/>
        <w:rPr>
          <w:b/>
          <w:bCs/>
        </w:rPr>
      </w:pPr>
      <w:r>
        <w:rPr>
          <w:b/>
          <w:bCs/>
        </w:rPr>
        <w:t xml:space="preserve">Services to Non-Profit Organizations and Merchants </w:t>
      </w:r>
    </w:p>
    <w:p>
      <w:pPr>
        <w:pStyle w:val="Heading3"/>
        <w:ind w:hanging="0" w:start="0"/>
        <w:rPr>
          <w:b w:val="false"/>
          <w:bCs w:val="false"/>
          <w:i w:val="false"/>
          <w:i w:val="false"/>
          <w:iCs w:val="false"/>
        </w:rPr>
      </w:pPr>
      <w:r>
        <w:rPr>
          <w:b w:val="false"/>
          <w:bCs w:val="false"/>
          <w:i w:val="false"/>
          <w:iCs w:val="false"/>
        </w:rPr>
      </w:r>
    </w:p>
    <w:p>
      <w:pPr>
        <w:pStyle w:val="Heading3"/>
        <w:ind w:hanging="0" w:start="0"/>
        <w:jc w:val="start"/>
        <w:rPr/>
      </w:pPr>
      <w:r>
        <w:rPr>
          <w:b w:val="false"/>
          <w:bCs w:val="false"/>
          <w:i w:val="false"/>
          <w:iCs w:val="false"/>
        </w:rPr>
        <w:t xml:space="preserve">The MyGiveBack loyalty program revolutionizes the way charitable organizations handle their fundraising.  Organizations simply encourage their members to shop at local merchants participating in the MyGiveBack program.  Member consumers pay the same price as other shoppers; the donation to the charity comes from the merchant and not the individual customer.  In time, hundreds and thousands of merchants will participate in the MGB loyalty program.  The program enables merchants to fulfill their desire to give back to their communities, creates consumer loyalty, drives new customers, enhances public relations, and generates an overall positive image </w:t>
      </w:r>
      <w:r>
        <w:rPr>
          <w:rFonts w:eastAsia="Symbol" w:cs="Symbol" w:ascii="Symbol" w:hAnsi="Symbol"/>
          <w:b w:val="false"/>
          <w:bCs w:val="false"/>
          <w:i w:val="false"/>
          <w:iCs w:val="false"/>
        </w:rPr>
        <w:sym w:font="Symbol" w:char="f02d"/>
      </w:r>
      <w:r>
        <w:rPr>
          <w:b w:val="false"/>
          <w:bCs w:val="false"/>
          <w:i w:val="false"/>
          <w:iCs w:val="false"/>
        </w:rPr>
        <w:t xml:space="preserve"> all at no risk to the merchant.</w:t>
      </w:r>
    </w:p>
    <w:p>
      <w:pPr>
        <w:pStyle w:val="Normal"/>
        <w:rPr>
          <w:b/>
          <w:bCs/>
          <w:i/>
          <w:i/>
          <w:iCs/>
        </w:rPr>
      </w:pPr>
      <w:r>
        <w:rPr>
          <w:b/>
          <w:bCs/>
          <w:i/>
          <w:iCs/>
        </w:rPr>
      </w:r>
    </w:p>
    <w:p>
      <w:pPr>
        <w:pStyle w:val="Normal"/>
        <w:rPr/>
      </w:pPr>
      <w:r>
        <w:rPr/>
        <w:t xml:space="preserve">Market research firm AC Nielsen found that 70 percent of U.S. households participated in loyalty or frequent-shopper programs in 1999, double the number that participated just three years earlier. (Houston Chronicle </w:t>
      </w:r>
      <w:r>
        <w:rPr>
          <w:rFonts w:eastAsia="Symbol" w:cs="Symbol" w:ascii="Symbol" w:hAnsi="Symbol"/>
        </w:rPr>
        <w:sym w:font="Symbol" w:char="f02d"/>
      </w:r>
      <w:r>
        <w:rPr/>
        <w:t xml:space="preserve"> 3/28/01)</w:t>
      </w:r>
    </w:p>
    <w:p>
      <w:pPr>
        <w:pStyle w:val="Normal"/>
        <w:rPr/>
      </w:pPr>
      <w:r>
        <w:rPr/>
      </w:r>
    </w:p>
    <w:p>
      <w:pPr>
        <w:pStyle w:val="Heading3"/>
        <w:ind w:hanging="0" w:start="0"/>
        <w:jc w:val="start"/>
        <w:rPr/>
      </w:pPr>
      <w:r>
        <w:rPr>
          <w:u w:val="single"/>
        </w:rPr>
        <w:t>MyGiveBack Mall and Web Site</w:t>
      </w:r>
      <w:r>
        <w:rPr>
          <w:b w:val="false"/>
          <w:bCs w:val="false"/>
          <w:u w:val="single"/>
        </w:rPr>
        <w:t xml:space="preserve"> </w:t>
      </w:r>
    </w:p>
    <w:p>
      <w:pPr>
        <w:pStyle w:val="Normal"/>
        <w:rPr/>
      </w:pPr>
      <w:r>
        <w:rPr/>
        <w:t>The MyGiveBack.com Web site will provide a focal point for consumers, merchants and organizations to initiate, manage, and monitor their interaction with MGB.  All parties will be able to monitor and analyze participation results.</w:t>
      </w:r>
    </w:p>
    <w:p>
      <w:pPr>
        <w:pStyle w:val="Normal"/>
        <w:rPr/>
      </w:pPr>
      <w:r>
        <w:rPr/>
      </w:r>
    </w:p>
    <w:p>
      <w:pPr>
        <w:pStyle w:val="Normal"/>
        <w:rPr/>
      </w:pPr>
      <w:r>
        <w:rPr/>
        <w:t>By starting their online shopping experience at the MGB Mall (MyGiveBack.com), members will donate a portion of every purchase they make online with participating merchants.  The MGB Mall will link to more than 250 of the leading e-commerce stores on the Internet, including: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numPr>
          <w:ilvl w:val="0"/>
          <w:numId w:val="2"/>
        </w:numPr>
        <w:rPr/>
      </w:pPr>
      <w:r>
        <w:rPr/>
        <w:t>Amazon.com</w:t>
      </w:r>
    </w:p>
    <w:p>
      <w:pPr>
        <w:pStyle w:val="Normal"/>
        <w:numPr>
          <w:ilvl w:val="0"/>
          <w:numId w:val="2"/>
        </w:numPr>
        <w:rPr/>
      </w:pPr>
      <w:r>
        <w:rPr/>
        <w:t>The Gap</w:t>
      </w:r>
    </w:p>
    <w:p>
      <w:pPr>
        <w:pStyle w:val="Normal"/>
        <w:numPr>
          <w:ilvl w:val="0"/>
          <w:numId w:val="2"/>
        </w:numPr>
        <w:rPr/>
      </w:pPr>
      <w:r>
        <w:rPr/>
        <w:t>Toys R Us</w:t>
      </w:r>
    </w:p>
    <w:p>
      <w:pPr>
        <w:pStyle w:val="Normal"/>
        <w:numPr>
          <w:ilvl w:val="0"/>
          <w:numId w:val="2"/>
        </w:numPr>
        <w:rPr/>
      </w:pPr>
      <w:r>
        <w:rPr/>
        <w:t>Land’s End</w:t>
      </w:r>
    </w:p>
    <w:p>
      <w:pPr>
        <w:pStyle w:val="Normal"/>
        <w:numPr>
          <w:ilvl w:val="0"/>
          <w:numId w:val="2"/>
        </w:numPr>
        <w:rPr/>
      </w:pPr>
      <w:r>
        <w:rPr/>
        <w:t>OfficeMax</w:t>
      </w:r>
    </w:p>
    <w:p>
      <w:pPr>
        <w:pStyle w:val="Normal"/>
        <w:numPr>
          <w:ilvl w:val="0"/>
          <w:numId w:val="2"/>
        </w:numPr>
        <w:rPr/>
      </w:pPr>
      <w:r>
        <w:rPr/>
        <w:t>Dell Computers</w:t>
      </w:r>
    </w:p>
    <w:p>
      <w:pPr>
        <w:pStyle w:val="Normal"/>
        <w:numPr>
          <w:ilvl w:val="0"/>
          <w:numId w:val="2"/>
        </w:numPr>
        <w:rPr/>
      </w:pPr>
      <w:r>
        <w:rPr/>
        <w:t>PlanetRX.com</w:t>
      </w:r>
    </w:p>
    <w:p>
      <w:pPr>
        <w:pStyle w:val="Normal"/>
        <w:numPr>
          <w:ilvl w:val="0"/>
          <w:numId w:val="2"/>
        </w:numPr>
        <w:rPr/>
      </w:pPr>
      <w:r>
        <w:rPr/>
        <w:t>Eddie Bauer</w:t>
      </w:r>
    </w:p>
    <w:p>
      <w:pPr>
        <w:pStyle w:val="Normal"/>
        <w:numPr>
          <w:ilvl w:val="0"/>
          <w:numId w:val="2"/>
        </w:numPr>
        <w:rPr/>
      </w:pPr>
      <w:r>
        <w:rPr/>
        <w:t>The Disney Store Online</w:t>
      </w:r>
    </w:p>
    <w:p>
      <w:pPr>
        <w:pStyle w:val="Normal"/>
        <w:numPr>
          <w:ilvl w:val="0"/>
          <w:numId w:val="2"/>
        </w:numPr>
        <w:rPr/>
      </w:pPr>
      <w:r>
        <w:rPr/>
        <w:t>CD NOW</w:t>
      </w:r>
    </w:p>
    <w:p>
      <w:pPr>
        <w:sectPr>
          <w:type w:val="continuous"/>
          <w:pgSz w:w="12240" w:h="15840"/>
          <w:pgMar w:left="1440" w:right="1440" w:gutter="0" w:header="720" w:top="1440" w:footer="720" w:bottom="1440"/>
          <w:cols w:num="2" w:space="708" w:equalWidth="true" w:sep="false"/>
          <w:formProt w:val="false"/>
          <w:textDirection w:val="lrTb"/>
          <w:docGrid w:type="default" w:linePitch="360" w:charSpace="0"/>
        </w:sectPr>
      </w:pPr>
    </w:p>
    <w:p>
      <w:pPr>
        <w:pStyle w:val="Normal"/>
        <w:rPr/>
      </w:pPr>
      <w:r>
        <w:rPr/>
      </w:r>
    </w:p>
    <w:p>
      <w:pPr>
        <w:pStyle w:val="Normal"/>
        <w:rPr/>
      </w:pPr>
      <w:r>
        <w:rPr/>
      </w:r>
    </w:p>
    <w:p>
      <w:pPr>
        <w:pStyle w:val="Heading4"/>
        <w:ind w:hanging="0" w:start="0"/>
        <w:jc w:val="start"/>
        <w:rPr>
          <w:b/>
          <w:bCs/>
          <w:u w:val="single"/>
        </w:rPr>
      </w:pPr>
      <w:r>
        <w:rPr>
          <w:b/>
          <w:bCs/>
          <w:u w:val="single"/>
        </w:rPr>
        <w:t xml:space="preserve">MyGiveBack Point-of-Sale Solutions  </w:t>
      </w:r>
    </w:p>
    <w:p>
      <w:pPr>
        <w:pStyle w:val="Normal"/>
        <w:rPr/>
      </w:pPr>
      <w:r>
        <w:rPr/>
        <w:t>MGB provides consumers with a choice of ways to identify themselves to member merchants at the point of sale: (1) present the MyGiveBack Loyalty Card; (2) present a merchant loyalty card which the consumer has registered with MGB; or (3) make the purchase using any credit card which the consumer has registered with MGB.  This choice of identification modes allows every consumer to participate in MGB, whether they prefer to pay by cash, check, credit card, or other means and whether they prefer to carry an additional card or not.</w:t>
      </w:r>
    </w:p>
    <w:p>
      <w:pPr>
        <w:pStyle w:val="Normal"/>
        <w:rPr/>
      </w:pPr>
      <w:r>
        <w:rPr/>
      </w:r>
    </w:p>
    <w:p>
      <w:pPr>
        <w:pStyle w:val="Normal"/>
        <w:rPr/>
      </w:pPr>
      <w:r>
        <w:rPr/>
        <w:t>MGB will provide the infrastructure to host full-scale consumer data capture for small and medium-sized merchants, creating many additional service revenue opportunities.</w:t>
      </w:r>
    </w:p>
    <w:p>
      <w:pPr>
        <w:pStyle w:val="BodyText"/>
        <w:spacing w:before="0" w:after="0"/>
        <w:jc w:val="start"/>
        <w:rPr>
          <w:szCs w:val="24"/>
        </w:rPr>
      </w:pPr>
      <w:r>
        <w:rPr>
          <w:szCs w:val="24"/>
        </w:rPr>
      </w:r>
    </w:p>
    <w:p>
      <w:pPr>
        <w:pStyle w:val="Normal"/>
        <w:rPr>
          <w:szCs w:val="24"/>
        </w:rPr>
      </w:pPr>
      <w:r>
        <w:rPr>
          <w:szCs w:val="24"/>
        </w:rPr>
      </w:r>
    </w:p>
    <w:p>
      <w:pPr>
        <w:pStyle w:val="BodyText"/>
        <w:spacing w:before="0" w:after="0"/>
        <w:rPr>
          <w:b/>
          <w:bCs/>
          <w:szCs w:val="24"/>
        </w:rPr>
      </w:pPr>
      <w:r>
        <w:rPr>
          <w:b/>
          <w:bCs/>
          <w:szCs w:val="24"/>
        </w:rPr>
        <w:t>MGB Current Status</w:t>
      </w:r>
    </w:p>
    <w:p>
      <w:pPr>
        <w:pStyle w:val="Normal"/>
        <w:rPr>
          <w:b/>
          <w:bCs/>
          <w:szCs w:val="24"/>
        </w:rPr>
      </w:pPr>
      <w:r>
        <w:rPr>
          <w:b/>
          <w:bCs/>
          <w:szCs w:val="24"/>
        </w:rPr>
      </w:r>
    </w:p>
    <w:p>
      <w:pPr>
        <w:pStyle w:val="Normal"/>
        <w:rPr/>
      </w:pPr>
      <w:r>
        <w:rPr/>
        <w:t>The company is in discussions with several large membership organizations and national brand retailers about how they might participate with MGB.</w:t>
      </w:r>
    </w:p>
    <w:p>
      <w:pPr>
        <w:pStyle w:val="Normal"/>
        <w:rPr/>
      </w:pPr>
      <w:r>
        <w:rPr/>
      </w:r>
    </w:p>
    <w:p>
      <w:pPr>
        <w:pStyle w:val="Normal"/>
        <w:rPr/>
      </w:pPr>
      <w:r>
        <w:rPr/>
        <w:t>MGB expect the MGB loyalty program to reach more than 1 million customers and thousands of merchant participants within 24 months of funding.</w:t>
      </w:r>
    </w:p>
    <w:p>
      <w:pPr>
        <w:pStyle w:val="BodyText"/>
        <w:spacing w:before="0" w:after="0"/>
        <w:rPr/>
      </w:pPr>
      <w:r>
        <w:rPr/>
      </w:r>
    </w:p>
    <w:p>
      <w:pPr>
        <w:pStyle w:val="Normal"/>
        <w:rPr/>
      </w:pPr>
      <w:r>
        <w:rPr/>
        <w:t>MGB is currently in the process of funding the implementation of its initial marketing plan, point of sale data capture solution, and interactive Web site.  MGB projects achieving profitability by the end of the first year of operation.</w:t>
      </w:r>
    </w:p>
    <w:p>
      <w:pPr>
        <w:pStyle w:val="Normal"/>
        <w:rPr/>
      </w:pPr>
      <w:r>
        <w:rPr/>
      </w:r>
    </w:p>
    <w:p>
      <w:pPr>
        <w:pStyle w:val="Normal"/>
        <w:rPr/>
      </w:pPr>
      <w:r>
        <w:rPr/>
      </w:r>
    </w:p>
    <w:p>
      <w:pPr>
        <w:pStyle w:val="Normal"/>
        <w:rPr>
          <w:lang w:val="en-CA" w:eastAsia="en-CA"/>
        </w:rPr>
      </w:pPr>
      <w:r>
        <w:rPr>
          <w:lang w:val="en-CA" w:eastAsia="en-CA"/>
        </w:rPr>
        <w:object w:dxaOrig="8909" w:dyaOrig="766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12pt;margin-top:0pt;width:444pt;height:376.05pt;mso-wrap-distance-left:9.05pt;mso-wrap-distance-right:9.05pt;mso-position-horizontal-relative:margin;mso-position-vertical-relative:text" filled="f" o:ole="">
            <v:imagedata r:id="rId11" o:title=""/>
            <w10:wrap type="topAndBottom"/>
          </v:shape>
          <o:OLEObject Type="Embed" ProgID="Excel.Sheet.12" ShapeID="ole_rId10" DrawAspect="Content" ObjectID="_5080926" r:id="rId10"/>
        </w:object>
      </w:r>
    </w:p>
    <w:sectPr>
      <w:type w:val="continuous"/>
      <w:pgSz w:w="12240" w:h="15840"/>
      <w:pgMar w:left="1440" w:right="1440"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8" w:space="1" w:color="0000FF"/>
      </w:pBdr>
      <w:tabs>
        <w:tab w:val="clear" w:pos="4320"/>
        <w:tab w:val="clear" w:pos="8640"/>
        <w:tab w:val="center" w:pos="4680" w:leader="none"/>
        <w:tab w:val="right" w:pos="9360" w:leader="none"/>
      </w:tabs>
      <w:jc w:val="both"/>
      <w:rPr>
        <w:rFonts w:ascii="Verdana" w:hAnsi="Verdana" w:cs="Verdana"/>
        <w:b/>
        <w:color w:val="FF0000"/>
        <w:sz w:val="20"/>
      </w:rPr>
    </w:pPr>
    <w:r>
      <w:rPr>
        <w:rFonts w:cs="Verdana" w:ascii="Verdana" w:hAnsi="Verdana"/>
        <w:b/>
        <w:color w:val="FF0000"/>
        <w:sz w:val="20"/>
      </w:rPr>
      <w:t>Confidential</w:t>
      <w:tab/>
      <w:tab/>
      <w:t>Not an offer to sell Securities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8" w:space="1" w:color="0000FF"/>
      </w:pBdr>
      <w:tabs>
        <w:tab w:val="clear" w:pos="4320"/>
        <w:tab w:val="clear" w:pos="8640"/>
        <w:tab w:val="center" w:pos="4680" w:leader="none"/>
        <w:tab w:val="right" w:pos="9360" w:leader="none"/>
      </w:tabs>
      <w:jc w:val="both"/>
      <w:rPr/>
    </w:pPr>
    <w:r>
      <w:rPr>
        <w:rFonts w:cs="Verdana" w:ascii="Verdana" w:hAnsi="Verdana"/>
        <w:b/>
        <w:color w:val="FF0000"/>
        <w:sz w:val="20"/>
      </w:rPr>
      <w:t>Confidential</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Fonts w:cs="Verdana" w:ascii="Verdana" w:hAnsi="Verdana"/>
        <w:b/>
        <w:color w:val="FF0000"/>
        <w:sz w:val="20"/>
      </w:rPr>
      <w:tab/>
      <w:t>Not an offer to sell Securities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8" w:space="0" w:color="0000FF"/>
      </w:pBdr>
      <w:rPr/>
    </w:pPr>
    <w:r>
      <w:drawing>
        <wp:anchor behindDoc="0" distT="0" distB="0" distL="114935" distR="114935" simplePos="0" locked="0" layoutInCell="0" allowOverlap="1" relativeHeight="2">
          <wp:simplePos x="0" y="0"/>
          <wp:positionH relativeFrom="column">
            <wp:posOffset>4229100</wp:posOffset>
          </wp:positionH>
          <wp:positionV relativeFrom="paragraph">
            <wp:posOffset>635</wp:posOffset>
          </wp:positionV>
          <wp:extent cx="1714500" cy="228600"/>
          <wp:effectExtent l="0" t="0" r="0" b="0"/>
          <wp:wrapTopAndBottom/>
          <wp:docPr id="4" name="mgb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gb_logo" descr="" title=""/>
                  <pic:cNvPicPr>
                    <a:picLocks noChangeAspect="1" noChangeArrowheads="1"/>
                  </pic:cNvPicPr>
                </pic:nvPicPr>
                <pic:blipFill>
                  <a:blip r:embed="rId1"/>
                  <a:srcRect l="-6" t="-35" r="-6" b="-35"/>
                  <a:stretch>
                    <a:fillRect/>
                  </a:stretch>
                </pic:blipFill>
                <pic:spPr bwMode="auto">
                  <a:xfrm>
                    <a:off x="0" y="0"/>
                    <a:ext cx="1714500" cy="228600"/>
                  </a:xfrm>
                  <a:prstGeom prst="rect">
                    <a:avLst/>
                  </a:prstGeom>
                  <a:noFill/>
                </pic:spPr>
              </pic:pic>
            </a:graphicData>
          </a:graphic>
        </wp:anchor>
      </w:drawing>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8" w:space="0" w:color="0000FF"/>
      </w:pBdr>
      <w:rPr/>
    </w:pPr>
    <w:r>
      <w:drawing>
        <wp:anchor behindDoc="0" distT="0" distB="0" distL="114935" distR="114935" simplePos="0" locked="0" layoutInCell="0" allowOverlap="1" relativeHeight="10">
          <wp:simplePos x="0" y="0"/>
          <wp:positionH relativeFrom="column">
            <wp:posOffset>4229100</wp:posOffset>
          </wp:positionH>
          <wp:positionV relativeFrom="paragraph">
            <wp:posOffset>635</wp:posOffset>
          </wp:positionV>
          <wp:extent cx="1714500" cy="228600"/>
          <wp:effectExtent l="0" t="0" r="0" b="0"/>
          <wp:wrapTopAndBottom/>
          <wp:docPr id="5" name="mgb_logo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gb_logo Copy 1" descr="" title=""/>
                  <pic:cNvPicPr>
                    <a:picLocks noChangeAspect="1" noChangeArrowheads="1"/>
                  </pic:cNvPicPr>
                </pic:nvPicPr>
                <pic:blipFill>
                  <a:blip r:embed="rId1"/>
                  <a:srcRect l="-6" t="-35" r="-6" b="-35"/>
                  <a:stretch>
                    <a:fillRect/>
                  </a:stretch>
                </pic:blipFill>
                <pic:spPr bwMode="auto">
                  <a:xfrm>
                    <a:off x="0" y="0"/>
                    <a:ext cx="1714500" cy="228600"/>
                  </a:xfrm>
                  <a:prstGeom prst="rect">
                    <a:avLst/>
                  </a:prstGeom>
                  <a:noFill/>
                </pic:spPr>
              </pic:pic>
            </a:graphicData>
          </a:graphic>
        </wp:anchor>
      </w:drawing>
    </w: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Liberation Serif" w:hAnsi="Liberation Serif" w:cs="Liberation Serif"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4"/>
      <w:lang w:val="en-US" w:bidi="ar-SA" w:eastAsia="zh-CN"/>
    </w:rPr>
  </w:style>
  <w:style w:type="paragraph" w:styleId="Heading1">
    <w:name w:val="heading 1"/>
    <w:basedOn w:val="Normal"/>
    <w:next w:val="BodyText"/>
    <w:qFormat/>
    <w:pPr>
      <w:keepNext w:val="true"/>
      <w:pageBreakBefore/>
      <w:numPr>
        <w:ilvl w:val="0"/>
        <w:numId w:val="1"/>
      </w:numPr>
      <w:pBdr>
        <w:bottom w:val="single" w:sz="18" w:space="1" w:color="0000FF"/>
      </w:pBdr>
      <w:shd w:fill="D8D8D8" w:val="clear"/>
      <w:spacing w:before="120" w:after="120"/>
      <w:jc w:val="both"/>
      <w:outlineLvl w:val="0"/>
    </w:pPr>
    <w:rPr>
      <w:rFonts w:ascii="Arial" w:hAnsi="Arial" w:cs="Arial"/>
      <w:b/>
      <w:color w:val="0000FF"/>
      <w:kern w:val="2"/>
      <w:sz w:val="40"/>
      <w:szCs w:val="20"/>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jc w:val="both"/>
      <w:outlineLvl w:val="2"/>
    </w:pPr>
    <w:rPr>
      <w:b/>
      <w:bCs/>
      <w:i/>
      <w:iCs/>
    </w:rPr>
  </w:style>
  <w:style w:type="paragraph" w:styleId="Heading4">
    <w:name w:val="heading 4"/>
    <w:basedOn w:val="Normal"/>
    <w:next w:val="Normal"/>
    <w:qFormat/>
    <w:pPr>
      <w:keepNext w:val="true"/>
      <w:numPr>
        <w:ilvl w:val="3"/>
        <w:numId w:val="1"/>
      </w:numPr>
      <w:jc w:val="both"/>
      <w:outlineLvl w:val="3"/>
    </w:pPr>
    <w:rPr>
      <w:i/>
      <w:iCs/>
    </w:rPr>
  </w:style>
  <w:style w:type="paragraph" w:styleId="Heading5">
    <w:name w:val="heading 5"/>
    <w:basedOn w:val="Normal"/>
    <w:next w:val="Normal"/>
    <w:qFormat/>
    <w:pPr>
      <w:keepNext w:val="true"/>
      <w:numPr>
        <w:ilvl w:val="4"/>
        <w:numId w:val="1"/>
      </w:numPr>
      <w:outlineLvl w:val="4"/>
    </w:pPr>
    <w:rPr>
      <w:i/>
      <w:i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cs="Courier New"/>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3420"/>
    </w:pPr>
    <w:rPr>
      <w:b/>
      <w:sz w:val="20"/>
      <w:szCs w:val="20"/>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jp@mygiveback.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package" Target="embeddings/oleObject1.xlsx"/><Relationship Id="rId11" Type="http://schemas.openxmlformats.org/officeDocument/2006/relationships/image" Target="media/image2.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2001-05-31T20:05:00Z</dcterms:created>
  <dc:creator>J.P. Monteverde III</dc:creator>
  <dc:description/>
  <dc:language>en-CA</dc:language>
  <cp:lastModifiedBy>Compaq</cp:lastModifiedBy>
  <cp:lastPrinted>2001-02-06T13:19:00Z</cp:lastPrinted>
  <dcterms:modified xsi:type="dcterms:W3CDTF">2001-05-31T20:08:00Z</dcterms:modified>
  <cp:revision>3</cp:revision>
  <dc:subject/>
  <dc:title>1</dc:title>
</cp:coreProperties>
</file>