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Vince Kaminski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Research</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Current Status of MG Value at Risk Measurement</w:t>
            </w:r>
            <w:bookmarkStart w:id="1" w:name="tSubject"/>
            <w:bookmarkEnd w:id="1"/>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pPr>
      <w:r>
        <w:rPr/>
      </w:r>
      <w:bookmarkStart w:id="2" w:name="StartOfMemo"/>
      <w:bookmarkStart w:id="3" w:name="StartOfMemo"/>
      <w:bookmarkEnd w:id="3"/>
    </w:p>
    <w:p>
      <w:pPr>
        <w:pStyle w:val="Body"/>
        <w:ind w:start="0" w:end="0"/>
        <w:rPr/>
      </w:pPr>
      <w:r>
        <w:rPr/>
        <w:t>The London and Houston Research groups have performed daily Value-At-Risk calculations on the bulk of the commodity positions held by Metall Gesellshaft -- Metals.   The results are:</w:t>
      </w:r>
    </w:p>
    <w:p>
      <w:pPr>
        <w:pStyle w:val="Body"/>
        <w:ind w:start="0" w:end="0"/>
        <w:rPr/>
      </w:pPr>
      <w:r>
        <w:rPr/>
      </w:r>
    </w:p>
    <w:p>
      <w:pPr>
        <w:pStyle w:val="Body"/>
        <w:ind w:start="0" w:end="0"/>
        <w:rPr/>
      </w:pPr>
      <w:r>
        <w:rPr/>
      </w:r>
    </w:p>
    <w:tbl>
      <w:tblPr>
        <w:tblW w:w="4090" w:type="dxa"/>
        <w:jc w:val="start"/>
        <w:tblInd w:w="1830" w:type="dxa"/>
        <w:tblLayout w:type="fixed"/>
        <w:tblCellMar>
          <w:top w:w="0" w:type="dxa"/>
          <w:start w:w="30" w:type="dxa"/>
          <w:bottom w:w="0" w:type="dxa"/>
          <w:end w:w="30" w:type="dxa"/>
        </w:tblCellMar>
      </w:tblPr>
      <w:tblGrid>
        <w:gridCol w:w="1920"/>
        <w:gridCol w:w="2170"/>
      </w:tblGrid>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Date</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Total VaR</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26th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$4,170,000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27th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$4,290,000</w:t>
            </w:r>
          </w:p>
        </w:tc>
      </w:tr>
      <w:tr>
        <w:trPr>
          <w:trHeight w:val="247"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28th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$4,488,000</w:t>
            </w:r>
          </w:p>
        </w:tc>
      </w:tr>
      <w:tr>
        <w:trPr>
          <w:trHeight w:val="262" w:hRule="atLeast"/>
        </w:trPr>
        <w:tc>
          <w:tcPr>
            <w:tcW w:w="192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31st July, 2000</w:t>
            </w:r>
          </w:p>
        </w:tc>
        <w:tc>
          <w:tcPr>
            <w:tcW w:w="2170" w:type="dxa"/>
            <w:tcBorders>
              <w:top w:val="single" w:sz="4" w:space="0" w:color="000000"/>
              <w:start w:val="single" w:sz="4" w:space="0" w:color="000000"/>
              <w:bottom w:val="single" w:sz="4" w:space="0" w:color="000000"/>
              <w:end w:val="single" w:sz="4" w:space="0" w:color="000000"/>
            </w:tcBorders>
            <w:shd w:fill="FFFFFF" w:val="clear"/>
          </w:tcPr>
          <w:p>
            <w:pPr>
              <w:pStyle w:val="Body"/>
              <w:ind w:start="0" w:end="0"/>
              <w:jc w:val="center"/>
              <w:rPr/>
            </w:pPr>
            <w:r>
              <w:rPr/>
              <w:t>$4,510,000</w:t>
            </w:r>
          </w:p>
        </w:tc>
      </w:tr>
    </w:tbl>
    <w:p>
      <w:pPr>
        <w:pStyle w:val="Body"/>
        <w:ind w:start="0" w:end="0"/>
        <w:rPr>
          <w:color w:val="auto"/>
          <w:sz w:val="24"/>
        </w:rPr>
      </w:pPr>
      <w:r>
        <w:rPr>
          <w:color w:val="auto"/>
          <w:sz w:val="24"/>
        </w:rPr>
      </w:r>
    </w:p>
    <w:p>
      <w:pPr>
        <w:pStyle w:val="Body"/>
        <w:ind w:start="0" w:end="0"/>
        <w:rPr/>
      </w:pPr>
      <w:r>
        <w:rPr/>
        <w:t>These numbers represent the aggregate Value-At-Risk based on a portfolio of 10 commodities:</w:t>
      </w:r>
    </w:p>
    <w:p>
      <w:pPr>
        <w:pStyle w:val="Body"/>
        <w:numPr>
          <w:ilvl w:val="0"/>
          <w:numId w:val="7"/>
        </w:numPr>
        <w:rPr/>
      </w:pPr>
      <w:r>
        <w:rPr/>
        <w:t xml:space="preserve">Aluminum </w:t>
      </w:r>
    </w:p>
    <w:p>
      <w:pPr>
        <w:pStyle w:val="Body"/>
        <w:numPr>
          <w:ilvl w:val="0"/>
          <w:numId w:val="7"/>
        </w:numPr>
        <w:rPr/>
      </w:pPr>
      <w:r>
        <w:rPr/>
        <w:t>Copper</w:t>
      </w:r>
    </w:p>
    <w:p>
      <w:pPr>
        <w:pStyle w:val="Body"/>
        <w:numPr>
          <w:ilvl w:val="0"/>
          <w:numId w:val="7"/>
        </w:numPr>
        <w:rPr/>
      </w:pPr>
      <w:r>
        <w:rPr/>
        <w:t>Lead</w:t>
      </w:r>
    </w:p>
    <w:p>
      <w:pPr>
        <w:pStyle w:val="Body"/>
        <w:numPr>
          <w:ilvl w:val="0"/>
          <w:numId w:val="7"/>
        </w:numPr>
        <w:rPr/>
      </w:pPr>
      <w:r>
        <w:rPr/>
        <w:t>Nickel</w:t>
      </w:r>
    </w:p>
    <w:p>
      <w:pPr>
        <w:pStyle w:val="Body"/>
        <w:numPr>
          <w:ilvl w:val="0"/>
          <w:numId w:val="7"/>
        </w:numPr>
        <w:rPr/>
      </w:pPr>
      <w:r>
        <w:rPr/>
        <w:t>Silver</w:t>
      </w:r>
    </w:p>
    <w:p>
      <w:pPr>
        <w:pStyle w:val="Body"/>
        <w:numPr>
          <w:ilvl w:val="0"/>
          <w:numId w:val="7"/>
        </w:numPr>
        <w:rPr/>
      </w:pPr>
      <w:r>
        <w:rPr/>
        <w:t xml:space="preserve">Tin </w:t>
      </w:r>
    </w:p>
    <w:p>
      <w:pPr>
        <w:pStyle w:val="Body"/>
        <w:numPr>
          <w:ilvl w:val="0"/>
          <w:numId w:val="7"/>
        </w:numPr>
        <w:rPr/>
      </w:pPr>
      <w:r>
        <w:rPr/>
        <w:t>Gold</w:t>
      </w:r>
    </w:p>
    <w:p>
      <w:pPr>
        <w:pStyle w:val="Body"/>
        <w:numPr>
          <w:ilvl w:val="0"/>
          <w:numId w:val="7"/>
        </w:numPr>
        <w:rPr/>
      </w:pPr>
      <w:r>
        <w:rPr/>
        <w:t>Copper Concentrate</w:t>
      </w:r>
    </w:p>
    <w:p>
      <w:pPr>
        <w:pStyle w:val="Body"/>
        <w:numPr>
          <w:ilvl w:val="0"/>
          <w:numId w:val="7"/>
        </w:numPr>
        <w:rPr/>
      </w:pPr>
      <w:r>
        <w:rPr/>
        <w:t>Zinc</w:t>
      </w:r>
    </w:p>
    <w:p>
      <w:pPr>
        <w:pStyle w:val="Body"/>
        <w:numPr>
          <w:ilvl w:val="0"/>
          <w:numId w:val="7"/>
        </w:numPr>
        <w:rPr/>
      </w:pPr>
      <w:r>
        <w:rPr/>
        <w:t>Cocoa</w:t>
      </w:r>
    </w:p>
    <w:p>
      <w:pPr>
        <w:pStyle w:val="Body"/>
        <w:rPr/>
      </w:pPr>
      <w:r>
        <w:rPr/>
      </w:r>
    </w:p>
    <w:p>
      <w:pPr>
        <w:pStyle w:val="Body"/>
        <w:rPr>
          <w:b/>
        </w:rPr>
      </w:pPr>
      <w:r>
        <w:rPr>
          <w:b/>
        </w:rPr>
        <w:t>Caveats:</w:t>
      </w:r>
    </w:p>
    <w:p>
      <w:pPr>
        <w:pStyle w:val="Body"/>
        <w:numPr>
          <w:ilvl w:val="0"/>
          <w:numId w:val="3"/>
        </w:numPr>
        <w:rPr>
          <w:b/>
        </w:rPr>
      </w:pPr>
      <w:r>
        <w:rPr/>
        <w:t>Commodity positions are as reported to Enron by MG.  There has been no independent verification of the accuracy of these positions.</w:t>
      </w:r>
    </w:p>
    <w:p>
      <w:pPr>
        <w:pStyle w:val="Body"/>
        <w:numPr>
          <w:ilvl w:val="0"/>
          <w:numId w:val="3"/>
        </w:numPr>
        <w:rPr>
          <w:b/>
        </w:rPr>
      </w:pPr>
      <w:r>
        <w:rPr/>
        <w:t>Option positions are reported to Enron by MG on a delta equivalent basis.  No gamma correction terms are included as yet, however these are expected to be small. Enron has not yet validated the option pricing methodology, therefore the accuracy of the delta valuation has not been verified.</w:t>
      </w:r>
    </w:p>
    <w:p>
      <w:pPr>
        <w:pStyle w:val="Body"/>
        <w:numPr>
          <w:ilvl w:val="0"/>
          <w:numId w:val="3"/>
        </w:numPr>
        <w:rPr>
          <w:b/>
        </w:rPr>
      </w:pPr>
      <w:r>
        <w:rPr/>
        <w:t>In addition to the 10 commodities listed above, MG has much smaller positions in other commodities, including</w:t>
      </w:r>
    </w:p>
    <w:p>
      <w:pPr>
        <w:pStyle w:val="Body"/>
        <w:numPr>
          <w:ilvl w:val="0"/>
          <w:numId w:val="4"/>
        </w:numPr>
        <w:tabs>
          <w:tab w:val="left" w:pos="720" w:leader="none"/>
        </w:tabs>
        <w:ind w:hanging="360" w:start="720" w:end="0"/>
        <w:rPr>
          <w:b/>
        </w:rPr>
      </w:pPr>
      <w:r>
        <w:rPr/>
        <w:t>Cobalt</w:t>
      </w:r>
    </w:p>
    <w:p>
      <w:pPr>
        <w:pStyle w:val="Body"/>
        <w:numPr>
          <w:ilvl w:val="0"/>
          <w:numId w:val="4"/>
        </w:numPr>
        <w:tabs>
          <w:tab w:val="left" w:pos="720" w:leader="none"/>
        </w:tabs>
        <w:ind w:hanging="360" w:start="720" w:end="0"/>
        <w:rPr>
          <w:b/>
        </w:rPr>
      </w:pPr>
      <w:r>
        <w:rPr/>
        <w:t>Palladium</w:t>
      </w:r>
    </w:p>
    <w:p>
      <w:pPr>
        <w:pStyle w:val="Body"/>
        <w:numPr>
          <w:ilvl w:val="0"/>
          <w:numId w:val="4"/>
        </w:numPr>
        <w:tabs>
          <w:tab w:val="left" w:pos="720" w:leader="none"/>
        </w:tabs>
        <w:ind w:hanging="360" w:start="720" w:end="0"/>
        <w:rPr>
          <w:b/>
        </w:rPr>
      </w:pPr>
      <w:r>
        <w:rPr/>
        <w:t>Cadmium</w:t>
      </w:r>
    </w:p>
    <w:p>
      <w:pPr>
        <w:pStyle w:val="Body"/>
        <w:numPr>
          <w:ilvl w:val="0"/>
          <w:numId w:val="4"/>
        </w:numPr>
        <w:tabs>
          <w:tab w:val="left" w:pos="720" w:leader="none"/>
        </w:tabs>
        <w:ind w:hanging="360" w:start="720" w:end="0"/>
        <w:rPr>
          <w:b/>
        </w:rPr>
      </w:pPr>
      <w:r>
        <w:rPr/>
        <w:t>Zinc Concentrate</w:t>
      </w:r>
    </w:p>
    <w:p>
      <w:pPr>
        <w:pStyle w:val="Body"/>
        <w:numPr>
          <w:ilvl w:val="0"/>
          <w:numId w:val="4"/>
        </w:numPr>
        <w:tabs>
          <w:tab w:val="left" w:pos="720" w:leader="none"/>
        </w:tabs>
        <w:ind w:hanging="360" w:start="720" w:end="0"/>
        <w:rPr>
          <w:b/>
        </w:rPr>
      </w:pPr>
      <w:r>
        <w:rPr/>
        <w:t>Lead Concentrate</w:t>
      </w:r>
    </w:p>
    <w:p>
      <w:pPr>
        <w:pStyle w:val="Body"/>
        <w:ind w:start="432" w:end="0"/>
        <w:rPr/>
      </w:pPr>
      <w:r>
        <w:rPr/>
        <w:t>While the majority of MG's exposure is expected to lie with the larger commodity positions listed above, it is nevertheless important to include these smaller positions because of the relatively higher price volatility inherent in these strategic metal commodities.</w:t>
      </w:r>
    </w:p>
    <w:p>
      <w:pPr>
        <w:pStyle w:val="Body"/>
        <w:numPr>
          <w:ilvl w:val="0"/>
          <w:numId w:val="2"/>
        </w:numPr>
        <w:rPr>
          <w:b/>
        </w:rPr>
      </w:pPr>
      <w:r>
        <w:rPr/>
        <w:t>The copper concentrate position was separated into an equivalent copper position and treatment charge/refining charge position.  (Copper concentrate, after treatment and refining, yields about 30% pure copper on a per ton basis)</w:t>
      </w:r>
    </w:p>
    <w:p>
      <w:pPr>
        <w:pStyle w:val="Body"/>
        <w:numPr>
          <w:ilvl w:val="0"/>
          <w:numId w:val="2"/>
        </w:numPr>
        <w:rPr>
          <w:b/>
        </w:rPr>
      </w:pPr>
      <w:r>
        <w:rPr/>
        <w:t xml:space="preserve">Historical data for some Gold, Silver, and Cocoa contract prices have yet to be collected.  Because of this, certain simplifying assumptions were employed in the Value-At-Risk calculation. </w:t>
      </w:r>
    </w:p>
    <w:p>
      <w:pPr>
        <w:pStyle w:val="Body"/>
        <w:numPr>
          <w:ilvl w:val="0"/>
          <w:numId w:val="2"/>
        </w:numPr>
        <w:rPr>
          <w:b/>
        </w:rPr>
      </w:pPr>
      <w:r>
        <w:rPr/>
        <w:t>Historically, some metal prices have exhibited gapping behavior;  i.e. large price movements, both up- and downward, occurring over a short period of time. The present calculation does not attempt to model such price jumps; therefore the Value-At-Risk numbers presented above are expected to be lower than the true value at risk.  The error introduced by not including jumps is not expected to exceed 10% of the Value-At-Risk. Technical details of the Value-At-Risk methodology are discussed below.</w:t>
      </w:r>
    </w:p>
    <w:p>
      <w:pPr>
        <w:pStyle w:val="Body"/>
        <w:numPr>
          <w:ilvl w:val="0"/>
          <w:numId w:val="5"/>
        </w:numPr>
        <w:rPr>
          <w:b/>
        </w:rPr>
      </w:pPr>
      <w:r>
        <w:rPr/>
        <w:t>Enron Europe recently entered into an option contract on December 2000 copper with MG, but, according to MG, this position has yet to be included in the position reports used to calculate Value-At-Risk.  It is expected that this deal will increase MG's Value-At-Risk by less than $500,000.</w:t>
      </w:r>
    </w:p>
    <w:p>
      <w:pPr>
        <w:pStyle w:val="Body"/>
        <w:numPr>
          <w:ilvl w:val="0"/>
          <w:numId w:val="5"/>
        </w:numPr>
        <w:rPr>
          <w:b/>
        </w:rPr>
      </w:pPr>
      <w:r>
        <w:rPr/>
        <w:t xml:space="preserve">The Value-At-Risk reported here should be regarded as preliminary because of the uncertain quality of price data input into the calculation engine.  Additional data review and cleaning are required. </w:t>
      </w:r>
    </w:p>
    <w:p>
      <w:pPr>
        <w:pStyle w:val="Body"/>
        <w:ind w:start="0" w:end="0"/>
        <w:rPr>
          <w:b/>
        </w:rPr>
      </w:pPr>
      <w:r>
        <w:rPr>
          <w:b/>
        </w:rPr>
      </w:r>
    </w:p>
    <w:p>
      <w:pPr>
        <w:pStyle w:val="Body"/>
        <w:rPr>
          <w:b/>
        </w:rPr>
      </w:pPr>
      <w:r>
        <w:rPr>
          <w:b/>
        </w:rPr>
      </w:r>
    </w:p>
    <w:p>
      <w:pPr>
        <w:pStyle w:val="Body"/>
        <w:rPr>
          <w:b/>
        </w:rPr>
      </w:pPr>
      <w:r>
        <w:rPr>
          <w:b/>
        </w:rPr>
        <w:t>Value-At-Risk Methodology</w:t>
      </w:r>
    </w:p>
    <w:p>
      <w:pPr>
        <w:pStyle w:val="Body"/>
        <w:numPr>
          <w:ilvl w:val="0"/>
          <w:numId w:val="6"/>
        </w:numPr>
        <w:rPr/>
      </w:pPr>
      <w:r>
        <w:rPr/>
        <w:t xml:space="preserve">The Value-At-Risk calculation is simulation based using a Heath-Jarrow-Morton methodology.  The procedure captures the correlated behavior of prices both along a commodity's forward curve as well as across commodities. This method is standard to Enron and is essentially identical to the process currently used to evaluate all of Enron's commodity positions. </w:t>
      </w:r>
    </w:p>
    <w:p>
      <w:pPr>
        <w:pStyle w:val="Body"/>
        <w:numPr>
          <w:ilvl w:val="0"/>
          <w:numId w:val="6"/>
        </w:numPr>
        <w:rPr/>
      </w:pPr>
      <w:r>
        <w:rPr/>
        <w:t>Principal component analysis was performed for each of the commodities, excluding the Treatment Charge/Refining Charge  (TC/RC), using the most recent 120 days of price data. This analysis yielded the 5 largest component factors for use in the HJM model. Because of insufficient price data, a simpler 1-factor model was used for TC/RC only.</w:t>
      </w:r>
    </w:p>
    <w:p>
      <w:pPr>
        <w:pStyle w:val="Body"/>
        <w:numPr>
          <w:ilvl w:val="0"/>
          <w:numId w:val="6"/>
        </w:numPr>
        <w:rPr/>
      </w:pPr>
      <w:r>
        <w:rPr/>
        <w:t xml:space="preserve">The volatility term structure for each commodity was estimated from 60 days of historical price data using an exponential weighting method to preferentially weight more recent data (Risk Metrics implementation, </w:t>
      </w:r>
      <w:r>
        <w:rPr>
          <w:rFonts w:eastAsia="Symbol" w:cs="Symbol" w:ascii="Symbol" w:hAnsi="Symbol"/>
        </w:rPr>
        <w:sym w:font="Symbol" w:char="f06c"/>
      </w:r>
      <w:r>
        <w:rPr/>
        <w:t>=0.94). The factors derived from the principal component analysis were then normalized to these volatilities. The TC/RC volatility was set at one half of the copper metal price volatility.</w:t>
      </w:r>
    </w:p>
    <w:p>
      <w:pPr>
        <w:pStyle w:val="Body"/>
        <w:numPr>
          <w:ilvl w:val="0"/>
          <w:numId w:val="6"/>
        </w:numPr>
        <w:rPr/>
      </w:pPr>
      <w:r>
        <w:rPr/>
        <w:t xml:space="preserve">Correlations across commodities were calculated using 60 days of spot price data and were used as the cross-commodity correlation for all maturities. Prices for TC/RC were assumed to have zero correlation with other commodities. </w:t>
      </w:r>
    </w:p>
    <w:p>
      <w:pPr>
        <w:pStyle w:val="Body"/>
        <w:ind w:start="0" w:end="0"/>
        <w:rPr/>
      </w:pPr>
      <w:r>
        <w:rPr/>
      </w:r>
    </w:p>
    <w:p>
      <w:pPr>
        <w:pStyle w:val="Body"/>
        <w:ind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2000-08-02T12:10:00Z</dcterms:created>
  <dc:creator>Jeff Ford</dc:creator>
  <dc:description/>
  <dc:language>en-CA</dc:language>
  <cp:lastModifiedBy>Grant Masson</cp:lastModifiedBy>
  <cp:lastPrinted>2000-08-02T14:18:00Z</cp:lastPrinted>
  <dcterms:modified xsi:type="dcterms:W3CDTF">2000-08-02T16:48:00Z</dcterms:modified>
  <cp:revision>11</cp:revision>
  <dc:subject>Current Status of MG Value at Risk Measurement</dc:subject>
  <dc:title>Eron Capital &amp; Trade Resources Memo</dc:title>
</cp:coreProperties>
</file>