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Terms of Service Summary</w:t>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ind w:firstLine="720" w:end="0"/>
        <w:jc w:val="both"/>
        <w:rPr/>
      </w:pPr>
      <w:r>
        <w:rPr>
          <w:rFonts w:cs="Arial" w:ascii="Arial" w:hAnsi="Arial"/>
          <w:sz w:val="20"/>
        </w:rPr>
        <w:t>This terms of service summary ("</w:t>
      </w:r>
      <w:r>
        <w:rPr>
          <w:rFonts w:cs="Arial" w:ascii="Arial" w:hAnsi="Arial"/>
          <w:sz w:val="20"/>
          <w:u w:val="single"/>
        </w:rPr>
        <w:t>Summary</w:t>
      </w:r>
      <w:r>
        <w:rPr>
          <w:rFonts w:cs="Arial" w:ascii="Arial" w:hAnsi="Arial"/>
          <w:sz w:val="20"/>
        </w:rPr>
        <w:t>") is provided to you as our potential customer ("</w:t>
      </w:r>
      <w:r>
        <w:rPr>
          <w:rFonts w:cs="Arial" w:ascii="Arial" w:hAnsi="Arial"/>
          <w:sz w:val="20"/>
          <w:u w:val="single"/>
        </w:rPr>
        <w:t>Customer</w:t>
      </w:r>
      <w:r>
        <w:rPr>
          <w:rFonts w:cs="Arial" w:ascii="Arial" w:hAnsi="Arial"/>
          <w:sz w:val="20"/>
        </w:rPr>
        <w:t>") in accordance with WCMR 65-407-306(2)(D)(2) and WCMR 65-407-305(4) as a summary of certain of the principal terms of the Electric Energy Sales Agreement by and between Enron Energy Services, Inc. ("</w:t>
      </w:r>
      <w:r>
        <w:rPr>
          <w:rFonts w:cs="Arial" w:ascii="Arial" w:hAnsi="Arial"/>
          <w:sz w:val="20"/>
          <w:u w:val="single"/>
        </w:rPr>
        <w:t>EESI</w:t>
      </w:r>
      <w:r>
        <w:rPr>
          <w:rFonts w:cs="Arial" w:ascii="Arial" w:hAnsi="Arial"/>
          <w:sz w:val="20"/>
        </w:rPr>
        <w:t>") and Customer (the "</w:t>
      </w:r>
      <w:r>
        <w:rPr>
          <w:rFonts w:cs="Arial" w:ascii="Arial" w:hAnsi="Arial"/>
          <w:sz w:val="20"/>
          <w:u w:val="single"/>
        </w:rPr>
        <w:t>Agreement</w:t>
      </w:r>
      <w:r>
        <w:rPr>
          <w:rFonts w:cs="Arial" w:ascii="Arial" w:hAnsi="Arial"/>
          <w:sz w:val="20"/>
        </w:rPr>
        <w:t xml:space="preserve">"). </w:t>
      </w:r>
    </w:p>
    <w:p>
      <w:pPr>
        <w:pStyle w:val="Normal"/>
        <w:ind w:firstLine="720" w:end="0"/>
        <w:jc w:val="both"/>
        <w:rPr>
          <w:rFonts w:ascii="Arial" w:hAnsi="Arial" w:cs="Arial"/>
          <w:sz w:val="20"/>
        </w:rPr>
      </w:pPr>
      <w:r>
        <w:rPr>
          <w:rFonts w:cs="Arial" w:ascii="Arial" w:hAnsi="Arial"/>
          <w:sz w:val="20"/>
        </w:rPr>
      </w:r>
    </w:p>
    <w:p>
      <w:pPr>
        <w:pStyle w:val="Normal"/>
        <w:ind w:firstLine="720" w:end="0"/>
        <w:jc w:val="both"/>
        <w:rPr>
          <w:rFonts w:ascii="Arial" w:hAnsi="Arial" w:cs="Arial"/>
          <w:sz w:val="20"/>
        </w:rPr>
      </w:pPr>
      <w:r>
        <w:rPr>
          <w:rFonts w:cs="Arial" w:ascii="Arial" w:hAnsi="Arial"/>
          <w:sz w:val="20"/>
        </w:rPr>
        <w:t>Capitalized terms used in this Summary and not otherwise defined shall have the meanings ascribed to them in the Agreement.</w:t>
      </w:r>
    </w:p>
    <w:p>
      <w:pPr>
        <w:pStyle w:val="Normal"/>
        <w:ind w:firstLine="720" w:end="0"/>
        <w:jc w:val="both"/>
        <w:rPr>
          <w:rFonts w:ascii="Arial" w:hAnsi="Arial" w:cs="Arial"/>
          <w:sz w:val="20"/>
        </w:rPr>
      </w:pPr>
      <w:r>
        <w:rPr>
          <w:rFonts w:cs="Arial" w:ascii="Arial" w:hAnsi="Arial"/>
          <w:sz w:val="20"/>
        </w:rPr>
      </w:r>
    </w:p>
    <w:p>
      <w:pPr>
        <w:pStyle w:val="Normal"/>
        <w:ind w:firstLine="720" w:end="0"/>
        <w:jc w:val="both"/>
        <w:rPr>
          <w:rFonts w:ascii="Arial" w:hAnsi="Arial" w:cs="Arial"/>
          <w:sz w:val="20"/>
        </w:rPr>
      </w:pPr>
      <w:r>
        <w:rPr>
          <w:rFonts w:cs="Arial" w:ascii="Arial" w:hAnsi="Arial"/>
          <w:sz w:val="20"/>
        </w:rPr>
        <w:t xml:space="preserve">This Summary is for reference only.  Any discrepancy between this Terms of Service and terms of the Agreement shall be resolved in favor of the Agreement. </w:t>
      </w:r>
    </w:p>
    <w:p>
      <w:pPr>
        <w:pStyle w:val="Normal"/>
        <w:jc w:val="both"/>
        <w:rPr>
          <w:rFonts w:ascii="Arial" w:hAnsi="Arial" w:cs="Arial"/>
          <w:sz w:val="20"/>
        </w:rPr>
      </w:pPr>
      <w:r>
        <w:rPr>
          <w:rFonts w:cs="Arial" w:ascii="Arial" w:hAnsi="Arial"/>
          <w:sz w:val="20"/>
        </w:rPr>
      </w:r>
    </w:p>
    <w:p>
      <w:pPr>
        <w:pStyle w:val="Outline3"/>
        <w:jc w:val="both"/>
        <w:rPr/>
      </w:pPr>
      <w:r>
        <w:rPr>
          <w:rFonts w:cs="Arial" w:ascii="Arial" w:hAnsi="Arial"/>
          <w:b/>
          <w:u w:val="single"/>
        </w:rPr>
        <w:t>Pricing Structure</w:t>
      </w:r>
      <w:r>
        <w:rPr>
          <w:rFonts w:cs="Arial" w:ascii="Arial" w:hAnsi="Arial"/>
        </w:rPr>
        <w:t xml:space="preserve">.  The Agreement provides for a fixed price per kWh for all energy at the Facility exclusive of Taxes and Utility Related Charges. </w:t>
      </w:r>
    </w:p>
    <w:p>
      <w:pPr>
        <w:pStyle w:val="Outline3"/>
        <w:jc w:val="both"/>
        <w:rPr>
          <w:rFonts w:ascii="Arial" w:hAnsi="Arial" w:cs="Arial"/>
        </w:rPr>
      </w:pPr>
      <w:r>
        <w:rPr>
          <w:rFonts w:cs="Arial" w:ascii="Arial" w:hAnsi="Arial"/>
        </w:rPr>
      </w:r>
    </w:p>
    <w:p>
      <w:pPr>
        <w:pStyle w:val="Normal"/>
        <w:jc w:val="both"/>
        <w:rPr/>
      </w:pPr>
      <w:r>
        <w:rPr>
          <w:rFonts w:cs="Arial" w:ascii="Arial" w:hAnsi="Arial"/>
          <w:b/>
          <w:sz w:val="20"/>
          <w:u w:val="single"/>
        </w:rPr>
        <w:t>Duration and Kind of Contract</w:t>
      </w:r>
      <w:r>
        <w:rPr>
          <w:rFonts w:cs="Arial" w:ascii="Arial" w:hAnsi="Arial"/>
          <w:sz w:val="20"/>
        </w:rPr>
        <w:t>.</w:t>
      </w:r>
      <w:r>
        <w:rPr>
          <w:sz w:val="16"/>
        </w:rPr>
        <w:t xml:space="preserve">  </w:t>
      </w:r>
      <w:r>
        <w:rPr>
          <w:rFonts w:cs="Arial" w:ascii="Arial" w:hAnsi="Arial"/>
          <w:sz w:val="20"/>
        </w:rPr>
        <w:t xml:space="preserve">The Agreement will commence on the Utility Transfer Date  closest to October 1, 2001 and continue through the Utility Transfer Date closest to </w:t>
      </w:r>
      <w:r>
        <w:fldChar w:fldCharType="begin">
          <w:ffData>
            <w:name w:val="Check1"/>
            <w:enabled/>
            <w:calcOnExit w:val="0"/>
            <w:checkBox>
              <w:sizeAuto/>
            </w:checkBox>
          </w:ffData>
        </w:fldChar>
      </w:r>
      <w:r>
        <w:rPr>
          <w:sz w:val="20"/>
          <w:rFonts w:cs="Arial" w:ascii="Arial" w:hAnsi="Arial"/>
        </w:rPr>
        <w:instrText xml:space="preserve"> FORMCHECKBOX </w:instrText>
      </w:r>
      <w:r>
        <w:rPr>
          <w:sz w:val="20"/>
          <w:rFonts w:cs="Arial" w:ascii="Arial" w:hAnsi="Arial"/>
        </w:rPr>
        <w:fldChar w:fldCharType="separate"/>
      </w:r>
      <w:bookmarkStart w:id="0" w:name="Check1"/>
      <w:bookmarkStart w:id="1" w:name="Check1"/>
      <w:bookmarkEnd w:id="1"/>
      <w:r>
        <w:rPr>
          <w:rFonts w:cs="Arial" w:ascii="Arial" w:hAnsi="Arial"/>
          <w:sz w:val="20"/>
        </w:rPr>
      </w:r>
      <w:r>
        <w:rPr>
          <w:sz w:val="20"/>
          <w:rFonts w:cs="Arial" w:ascii="Arial" w:hAnsi="Arial"/>
        </w:rPr>
        <w:fldChar w:fldCharType="end"/>
      </w:r>
      <w:r>
        <w:rPr>
          <w:rFonts w:cs="Arial" w:ascii="Arial" w:hAnsi="Arial"/>
          <w:sz w:val="20"/>
        </w:rPr>
        <w:t xml:space="preserve"> 24 months,  </w:t>
      </w:r>
      <w:r>
        <w:fldChar w:fldCharType="begin">
          <w:ffData>
            <w:name w:val="Check58"/>
            <w:enabled/>
            <w:calcOnExit w:val="0"/>
            <w:checkBox>
              <w:sizeAuto/>
            </w:checkBox>
          </w:ffData>
        </w:fldChar>
      </w:r>
      <w:r>
        <w:rPr>
          <w:sz w:val="20"/>
          <w:rFonts w:cs="Arial" w:ascii="Arial" w:hAnsi="Arial"/>
        </w:rPr>
        <w:instrText xml:space="preserve"> FORMCHECKBOX </w:instrText>
      </w:r>
      <w:r>
        <w:rPr>
          <w:sz w:val="20"/>
          <w:rFonts w:cs="Arial" w:ascii="Arial" w:hAnsi="Arial"/>
        </w:rPr>
        <w:fldChar w:fldCharType="separate"/>
      </w:r>
      <w:bookmarkStart w:id="2" w:name="Check58"/>
      <w:bookmarkStart w:id="3" w:name="Check58"/>
      <w:bookmarkEnd w:id="3"/>
      <w:r>
        <w:rPr>
          <w:rFonts w:cs="Arial" w:ascii="Arial" w:hAnsi="Arial"/>
          <w:sz w:val="20"/>
        </w:rPr>
      </w:r>
      <w:r>
        <w:rPr>
          <w:sz w:val="20"/>
          <w:rFonts w:cs="Arial" w:ascii="Arial" w:hAnsi="Arial"/>
        </w:rPr>
        <w:fldChar w:fldCharType="end"/>
      </w:r>
      <w:r>
        <w:rPr>
          <w:rFonts w:cs="Arial" w:ascii="Arial" w:hAnsi="Arial"/>
          <w:sz w:val="20"/>
        </w:rPr>
        <w:t xml:space="preserve"> 36 months, </w:t>
      </w:r>
      <w:r>
        <w:fldChar w:fldCharType="begin">
          <w:ffData>
            <w:name w:val="Check59"/>
            <w:enabled/>
            <w:calcOnExit w:val="0"/>
            <w:checkBox>
              <w:sizeAuto/>
            </w:checkBox>
          </w:ffData>
        </w:fldChar>
      </w:r>
      <w:r>
        <w:rPr>
          <w:sz w:val="20"/>
          <w:rFonts w:cs="Arial" w:ascii="Arial" w:hAnsi="Arial"/>
        </w:rPr>
        <w:instrText xml:space="preserve"> FORMCHECKBOX </w:instrText>
      </w:r>
      <w:r>
        <w:rPr>
          <w:sz w:val="20"/>
          <w:rFonts w:cs="Arial" w:ascii="Arial" w:hAnsi="Arial"/>
        </w:rPr>
        <w:fldChar w:fldCharType="separate"/>
      </w:r>
      <w:bookmarkStart w:id="4" w:name="Check59"/>
      <w:bookmarkStart w:id="5" w:name="Check59"/>
      <w:bookmarkEnd w:id="5"/>
      <w:r>
        <w:rPr>
          <w:rFonts w:cs="Arial" w:ascii="Arial" w:hAnsi="Arial"/>
          <w:sz w:val="20"/>
        </w:rPr>
      </w:r>
      <w:r>
        <w:rPr>
          <w:sz w:val="20"/>
          <w:rFonts w:cs="Arial" w:ascii="Arial" w:hAnsi="Arial"/>
        </w:rPr>
        <w:fldChar w:fldCharType="end"/>
      </w:r>
      <w:r>
        <w:rPr>
          <w:rFonts w:cs="Arial" w:ascii="Arial" w:hAnsi="Arial"/>
          <w:sz w:val="20"/>
        </w:rPr>
        <w:t xml:space="preserve"> 48 months, </w:t>
      </w:r>
      <w:r>
        <w:fldChar w:fldCharType="begin">
          <w:ffData>
            <w:name w:val="Check2"/>
            <w:enabled/>
            <w:calcOnExit w:val="0"/>
            <w:checkBox>
              <w:sizeAuto/>
            </w:checkBox>
          </w:ffData>
        </w:fldChar>
      </w:r>
      <w:r>
        <w:rPr>
          <w:sz w:val="20"/>
          <w:rFonts w:cs="Arial" w:ascii="Arial" w:hAnsi="Arial"/>
        </w:rPr>
        <w:instrText xml:space="preserve"> FORMCHECKBOX </w:instrText>
      </w:r>
      <w:r>
        <w:rPr>
          <w:sz w:val="20"/>
          <w:rFonts w:cs="Arial" w:ascii="Arial" w:hAnsi="Arial"/>
        </w:rPr>
        <w:fldChar w:fldCharType="separate"/>
      </w:r>
      <w:bookmarkStart w:id="6" w:name="Check2"/>
      <w:bookmarkStart w:id="7" w:name="Check2"/>
      <w:bookmarkEnd w:id="7"/>
      <w:r>
        <w:rPr>
          <w:rFonts w:cs="Arial" w:ascii="Arial" w:hAnsi="Arial"/>
          <w:sz w:val="20"/>
        </w:rPr>
      </w:r>
      <w:r>
        <w:rPr>
          <w:sz w:val="20"/>
          <w:rFonts w:cs="Arial" w:ascii="Arial" w:hAnsi="Arial"/>
        </w:rPr>
        <w:fldChar w:fldCharType="end"/>
      </w:r>
      <w:r>
        <w:rPr>
          <w:rFonts w:cs="Arial" w:ascii="Arial" w:hAnsi="Arial"/>
          <w:sz w:val="20"/>
        </w:rPr>
        <w:t xml:space="preserve"> 60 months (</w:t>
      </w:r>
      <w:r>
        <w:rPr>
          <w:rFonts w:cs="Arial" w:ascii="Arial" w:hAnsi="Arial"/>
          <w:b/>
          <w:i/>
          <w:sz w:val="20"/>
        </w:rPr>
        <w:t>check one</w:t>
      </w:r>
      <w:r>
        <w:rPr>
          <w:rFonts w:cs="Arial" w:ascii="Arial" w:hAnsi="Arial"/>
          <w:sz w:val="20"/>
        </w:rPr>
        <w:t xml:space="preserve">) after October 1, 2001 from the Utility Transfer Date.  The Agreement provides for </w:t>
      </w:r>
      <w:r>
        <w:rPr>
          <w:rFonts w:cs="Arial" w:ascii="Arial" w:hAnsi="Arial"/>
          <w:color w:val="000000"/>
          <w:sz w:val="20"/>
        </w:rPr>
        <w:t>generation service as defined under the Rules.</w:t>
      </w:r>
    </w:p>
    <w:p>
      <w:pPr>
        <w:pStyle w:val="Normal"/>
        <w:jc w:val="both"/>
        <w:rPr>
          <w:rFonts w:ascii="Arial" w:hAnsi="Arial" w:cs="Arial"/>
          <w:color w:val="000000"/>
          <w:sz w:val="20"/>
        </w:rPr>
      </w:pPr>
      <w:r>
        <w:rPr>
          <w:rFonts w:cs="Arial" w:ascii="Arial" w:hAnsi="Arial"/>
          <w:color w:val="000000"/>
          <w:sz w:val="20"/>
        </w:rPr>
      </w:r>
    </w:p>
    <w:p>
      <w:pPr>
        <w:pStyle w:val="Normal"/>
        <w:widowControl w:val="false"/>
        <w:jc w:val="both"/>
        <w:rPr/>
      </w:pPr>
      <w:r>
        <w:rPr>
          <w:rFonts w:cs="Arial" w:ascii="Arial" w:hAnsi="Arial"/>
          <w:b/>
          <w:sz w:val="20"/>
          <w:u w:val="single"/>
        </w:rPr>
        <w:t>Due Date of Bills and Consequences of Late Payment.</w:t>
      </w:r>
      <w:r>
        <w:rPr>
          <w:rFonts w:cs="Arial" w:ascii="Arial" w:hAnsi="Arial"/>
          <w:sz w:val="20"/>
        </w:rPr>
        <w:t xml:space="preserve">  Payment is due as specified in the invoices you will receive from the Utility ("</w:t>
      </w:r>
      <w:r>
        <w:rPr>
          <w:rFonts w:cs="Arial" w:ascii="Arial" w:hAnsi="Arial"/>
          <w:sz w:val="20"/>
          <w:u w:val="single"/>
        </w:rPr>
        <w:t>Utility Invoice(s)</w:t>
      </w:r>
      <w:r>
        <w:rPr>
          <w:rFonts w:cs="Arial" w:ascii="Arial" w:hAnsi="Arial"/>
          <w:sz w:val="20"/>
        </w:rPr>
        <w:t>").  If you fail to pay any amounts due by the due date, you will be responsible for and pay all fees, interest and penalties assessed by the Utility.  We may terminate the Agreement due to non-payment.</w:t>
      </w:r>
    </w:p>
    <w:p>
      <w:pPr>
        <w:pStyle w:val="Normal"/>
        <w:widowControl w:val="false"/>
        <w:jc w:val="both"/>
        <w:rPr>
          <w:rFonts w:ascii="Arial" w:hAnsi="Arial" w:cs="Arial"/>
          <w:sz w:val="20"/>
        </w:rPr>
      </w:pPr>
      <w:r>
        <w:rPr>
          <w:rFonts w:cs="Arial" w:ascii="Arial" w:hAnsi="Arial"/>
          <w:sz w:val="20"/>
        </w:rPr>
      </w:r>
    </w:p>
    <w:p>
      <w:pPr>
        <w:pStyle w:val="Normal"/>
        <w:jc w:val="both"/>
        <w:rPr/>
      </w:pPr>
      <w:r>
        <w:rPr>
          <w:rFonts w:cs="Arial" w:ascii="Arial" w:hAnsi="Arial"/>
          <w:b/>
          <w:sz w:val="20"/>
          <w:u w:val="single"/>
        </w:rPr>
        <w:t>Credit Information</w:t>
      </w:r>
      <w:r>
        <w:rPr>
          <w:rFonts w:cs="Arial" w:ascii="Arial" w:hAnsi="Arial"/>
          <w:sz w:val="20"/>
        </w:rPr>
        <w:t xml:space="preserve">. The Agreement will not be effective unless and until you meet the credit standards established by us and provide such security deposit as may be required by us.  It is our practice to perform credit checks on all applicants and will, therefore, probably contact a credit reporting agency for a copy of your credit history.  In the event of nonpayment under the Agreement, we may report such nonpayment to a credit reporting agency.  </w:t>
      </w:r>
    </w:p>
    <w:p>
      <w:pPr>
        <w:pStyle w:val="Normal"/>
        <w:jc w:val="both"/>
        <w:rPr>
          <w:rFonts w:ascii="Arial" w:hAnsi="Arial" w:cs="Arial"/>
          <w:b/>
          <w:sz w:val="20"/>
        </w:rPr>
      </w:pPr>
      <w:r>
        <w:rPr>
          <w:rFonts w:cs="Arial" w:ascii="Arial" w:hAnsi="Arial"/>
          <w:b/>
          <w:sz w:val="20"/>
        </w:rPr>
      </w:r>
    </w:p>
    <w:p>
      <w:pPr>
        <w:pStyle w:val="Normal"/>
        <w:rPr/>
      </w:pPr>
      <w:r>
        <w:rPr>
          <w:rFonts w:cs="Arial" w:ascii="Arial" w:hAnsi="Arial"/>
          <w:b/>
          <w:sz w:val="20"/>
          <w:u w:val="single"/>
        </w:rPr>
        <w:t>Deposit Requirements and Interest on Deposits</w:t>
      </w:r>
      <w:r>
        <w:rPr>
          <w:rFonts w:cs="Arial" w:ascii="Arial" w:hAnsi="Arial"/>
          <w:sz w:val="20"/>
        </w:rPr>
        <w:t>. We may request that you provide a security deposit under the Agreement.  Interest on the security deposit will not be paid to you in the event such a deposit is obtained.</w:t>
      </w:r>
    </w:p>
    <w:p>
      <w:pPr>
        <w:pStyle w:val="Normal"/>
        <w:rPr>
          <w:rFonts w:ascii="Arial" w:hAnsi="Arial" w:cs="Arial"/>
          <w:sz w:val="20"/>
        </w:rPr>
      </w:pPr>
      <w:r>
        <w:rPr>
          <w:rFonts w:cs="Arial" w:ascii="Arial" w:hAnsi="Arial"/>
          <w:sz w:val="20"/>
        </w:rPr>
      </w:r>
    </w:p>
    <w:p>
      <w:pPr>
        <w:pStyle w:val="Normal"/>
        <w:rPr/>
      </w:pPr>
      <w:r>
        <w:rPr>
          <w:rFonts w:cs="Arial" w:ascii="Arial" w:hAnsi="Arial"/>
          <w:b/>
          <w:sz w:val="20"/>
          <w:u w:val="single"/>
        </w:rPr>
        <w:t>Limits on Warranties and Damages</w:t>
      </w:r>
      <w:r>
        <w:rPr>
          <w:rFonts w:cs="Arial" w:ascii="Arial" w:hAnsi="Arial"/>
          <w:sz w:val="20"/>
        </w:rPr>
        <w:t>. EESI expressly negates any representation or warranty, written or oral, express or implied, other than as expressly set forth in the Agreement, including any representation or warranty with respect to conformity to models or samples, merchantability, or fitness for any particular purpose.  Damages are limited to actual damages.</w:t>
      </w:r>
    </w:p>
    <w:p>
      <w:pPr>
        <w:pStyle w:val="Normal"/>
        <w:rPr>
          <w:rFonts w:ascii="Arial" w:hAnsi="Arial" w:cs="Arial"/>
          <w:sz w:val="20"/>
        </w:rPr>
      </w:pPr>
      <w:r>
        <w:rPr>
          <w:rFonts w:cs="Arial" w:ascii="Arial" w:hAnsi="Arial"/>
          <w:sz w:val="20"/>
        </w:rPr>
      </w:r>
    </w:p>
    <w:p>
      <w:pPr>
        <w:pStyle w:val="Outline3"/>
        <w:jc w:val="both"/>
        <w:rPr/>
      </w:pPr>
      <w:r>
        <w:rPr>
          <w:rFonts w:cs="Arial" w:ascii="Arial" w:hAnsi="Arial"/>
          <w:b/>
          <w:u w:val="single"/>
        </w:rPr>
        <w:t>Charges, Fees and Penalties</w:t>
      </w:r>
      <w:r>
        <w:rPr>
          <w:rFonts w:cs="Arial" w:ascii="Arial" w:hAnsi="Arial"/>
        </w:rPr>
        <w:t>. You will be responsible for and pay any Energy Imbalance Charge(s) assessed by the Utility as a result of your failure to comply with a Utility Curtailment Notice.  You will be responsible for and pay all fees, interest and penalties assessed by the Utility for your failure to pay any Utility Invoice amount by its due date.</w:t>
      </w:r>
    </w:p>
    <w:p>
      <w:pPr>
        <w:pStyle w:val="Outline3"/>
        <w:jc w:val="both"/>
        <w:rPr>
          <w:rFonts w:ascii="Arial" w:hAnsi="Arial" w:cs="Arial"/>
        </w:rPr>
      </w:pPr>
      <w:r>
        <w:rPr>
          <w:rFonts w:cs="Arial" w:ascii="Arial" w:hAnsi="Arial"/>
        </w:rPr>
      </w:r>
    </w:p>
    <w:p>
      <w:pPr>
        <w:pStyle w:val="Normal"/>
        <w:widowControl w:val="false"/>
        <w:jc w:val="both"/>
        <w:rPr/>
      </w:pPr>
      <w:r>
        <w:rPr>
          <w:rFonts w:cs="Arial" w:ascii="Arial" w:hAnsi="Arial"/>
          <w:b/>
          <w:sz w:val="20"/>
          <w:u w:val="single"/>
        </w:rPr>
        <w:t>Information on Estimated Bills, Third-Party Billing, and Deferred Payments.</w:t>
      </w:r>
      <w:r>
        <w:rPr>
          <w:rFonts w:cs="Arial" w:ascii="Arial" w:hAnsi="Arial"/>
          <w:sz w:val="20"/>
        </w:rPr>
        <w:t xml:space="preserve"> You will receive a Utility Invoice for each billing cycle during the Term detailing your energy consumption with an indication of whether such consumption is based on actual recorded usage or estimated usage.  Each Utility Invoice will include your total charges for both generation and transmission service.  No third-party billing (other than through the Utility) or deferred payment arrangements are included. </w:t>
      </w:r>
    </w:p>
    <w:p>
      <w:pPr>
        <w:pStyle w:val="Normal"/>
        <w:widowControl w:val="false"/>
        <w:jc w:val="both"/>
        <w:rPr>
          <w:rFonts w:ascii="Arial" w:hAnsi="Arial" w:cs="Arial"/>
          <w:b/>
          <w:sz w:val="20"/>
        </w:rPr>
      </w:pPr>
      <w:r>
        <w:rPr>
          <w:rFonts w:cs="Arial" w:ascii="Arial" w:hAnsi="Arial"/>
          <w:b/>
          <w:sz w:val="20"/>
        </w:rPr>
      </w:r>
    </w:p>
    <w:p>
      <w:pPr>
        <w:pStyle w:val="Normal"/>
        <w:widowControl w:val="false"/>
        <w:pBdr>
          <w:top w:val="single" w:sz="4" w:space="1" w:color="000000"/>
          <w:left w:val="single" w:sz="4" w:space="4" w:color="000000"/>
          <w:bottom w:val="single" w:sz="4" w:space="1" w:color="000000"/>
          <w:right w:val="single" w:sz="4" w:space="4" w:color="000000"/>
        </w:pBdr>
        <w:jc w:val="both"/>
        <w:rPr>
          <w:rFonts w:ascii="Arial" w:hAnsi="Arial" w:cs="Arial"/>
          <w:b/>
          <w:sz w:val="20"/>
        </w:rPr>
      </w:pPr>
      <w:r>
        <w:rPr>
          <w:rFonts w:cs="Arial" w:ascii="Arial" w:hAnsi="Arial"/>
          <w:b/>
          <w:sz w:val="20"/>
          <w:u w:val="single"/>
        </w:rPr>
        <w:t>Information on Rescission Rights</w:t>
      </w:r>
      <w:r>
        <w:rPr>
          <w:rFonts w:cs="Arial" w:ascii="Arial" w:hAnsi="Arial"/>
          <w:b/>
          <w:sz w:val="20"/>
        </w:rPr>
        <w:t xml:space="preserve">.  </w:t>
      </w:r>
      <w:r>
        <w:rPr>
          <w:rFonts w:cs="Arial" w:ascii="Arial" w:hAnsi="Arial"/>
          <w:sz w:val="20"/>
        </w:rPr>
        <w:t xml:space="preserve">You have five business days from your execution of the Agreement (and receipt of this Summary and our disclosure label which were provided concurrently with the Agreement) in which to provide notice to us that you elect to rescind, without charge or penalty, your choice of EESI as your Competitive Supplier and this Agreement. After such period, you will not have the right to rescind or otherwise terminate the Agreement except as expressly provided therein.  You may exercise your right of rescission by (i) contacting your EESI representative at </w:t>
      </w:r>
      <w:r>
        <w:rPr>
          <w:rFonts w:cs="Arial" w:ascii="Arial" w:hAnsi="Arial"/>
          <w:b/>
          <w:sz w:val="20"/>
        </w:rPr>
        <w:t>[insert phone #]</w:t>
      </w:r>
      <w:r>
        <w:rPr>
          <w:rFonts w:cs="Arial" w:ascii="Arial" w:hAnsi="Arial"/>
          <w:sz w:val="20"/>
        </w:rPr>
        <w:t xml:space="preserve">; or (ii) in writing to Enron Energy Services, Inc., 1400 Smith Street, Houston, Texas 77002, attn: </w:t>
      </w:r>
      <w:r>
        <w:rPr>
          <w:rFonts w:cs="Arial" w:ascii="Arial" w:hAnsi="Arial"/>
          <w:b/>
          <w:sz w:val="20"/>
        </w:rPr>
        <w:t>[</w:t>
      </w:r>
      <w:r>
        <w:rPr>
          <w:rFonts w:cs="Arial" w:ascii="Arial" w:hAnsi="Arial"/>
          <w:sz w:val="20"/>
        </w:rPr>
        <w:t>_________</w:t>
      </w:r>
      <w:r>
        <w:rPr>
          <w:rFonts w:cs="Arial" w:ascii="Arial" w:hAnsi="Arial"/>
          <w:b/>
          <w:sz w:val="20"/>
        </w:rPr>
        <w:t>]</w:t>
      </w:r>
      <w:r>
        <w:rPr>
          <w:rFonts w:cs="Arial" w:ascii="Arial" w:hAnsi="Arial"/>
          <w:sz w:val="20"/>
        </w:rPr>
        <w:t>; or (iii) by facsimile at (713) 646-2621.</w:t>
      </w:r>
    </w:p>
    <w:p>
      <w:pPr>
        <w:pStyle w:val="Normal"/>
        <w:numPr>
          <w:ilvl w:val="0"/>
          <w:numId w:val="0"/>
        </w:numPr>
        <w:outlineLvl w:val="0"/>
        <w:rPr>
          <w:rFonts w:ascii="Arial" w:hAnsi="Arial" w:cs="Arial"/>
          <w:b/>
          <w:sz w:val="20"/>
          <w:u w:val="single"/>
        </w:rPr>
      </w:pPr>
      <w:r>
        <w:rPr>
          <w:rFonts w:cs="Arial" w:ascii="Arial" w:hAnsi="Arial"/>
          <w:b/>
          <w:sz w:val="20"/>
          <w:u w:val="single"/>
        </w:rPr>
      </w:r>
    </w:p>
    <w:p>
      <w:pPr>
        <w:pStyle w:val="Normal"/>
        <w:numPr>
          <w:ilvl w:val="0"/>
          <w:numId w:val="0"/>
        </w:numPr>
        <w:outlineLvl w:val="0"/>
        <w:rPr/>
      </w:pPr>
      <w:r>
        <w:rPr>
          <w:rFonts w:cs="Arial" w:ascii="Arial" w:hAnsi="Arial"/>
          <w:b/>
          <w:sz w:val="20"/>
          <w:u w:val="single"/>
        </w:rPr>
        <w:t>Toll-free Number for Customer Questions and Complaints</w:t>
      </w:r>
      <w:r>
        <w:rPr>
          <w:rFonts w:cs="Arial" w:ascii="Arial" w:hAnsi="Arial"/>
          <w:sz w:val="20"/>
        </w:rPr>
        <w:t xml:space="preserve">.  You may contact us at </w:t>
      </w:r>
      <w:r>
        <w:rPr>
          <w:rFonts w:cs="Arial" w:ascii="Arial" w:hAnsi="Arial"/>
          <w:b/>
          <w:sz w:val="20"/>
        </w:rPr>
        <w:t>[</w:t>
      </w:r>
      <w:r>
        <w:rPr>
          <w:rFonts w:cs="Arial" w:ascii="Arial" w:hAnsi="Arial"/>
          <w:sz w:val="20"/>
        </w:rPr>
        <w:t>(800) 837-9584</w:t>
      </w:r>
      <w:r>
        <w:rPr>
          <w:rFonts w:cs="Arial" w:ascii="Arial" w:hAnsi="Arial"/>
          <w:b/>
          <w:sz w:val="20"/>
        </w:rPr>
        <w:t xml:space="preserve">] [verify correct] </w:t>
      </w:r>
      <w:r>
        <w:rPr>
          <w:rFonts w:cs="Arial" w:ascii="Arial" w:hAnsi="Arial"/>
          <w:sz w:val="20"/>
        </w:rPr>
        <w:t xml:space="preserve">during the hours of </w:t>
      </w:r>
      <w:r>
        <w:rPr>
          <w:rFonts w:cs="Arial" w:ascii="Arial" w:hAnsi="Arial"/>
          <w:b/>
          <w:sz w:val="20"/>
        </w:rPr>
        <w:t>[insert hours of operation]</w:t>
      </w:r>
      <w:r>
        <w:rPr>
          <w:rFonts w:cs="Arial" w:ascii="Arial" w:hAnsi="Arial"/>
          <w:sz w:val="20"/>
        </w:rPr>
        <w:t xml:space="preserve"> for questions or complaints.</w:t>
      </w:r>
    </w:p>
    <w:p>
      <w:pPr>
        <w:pStyle w:val="Normal"/>
        <w:numPr>
          <w:ilvl w:val="0"/>
          <w:numId w:val="0"/>
        </w:numPr>
        <w:outlineLvl w:val="0"/>
        <w:rPr>
          <w:rFonts w:ascii="Arial" w:hAnsi="Arial" w:cs="Arial"/>
          <w:sz w:val="20"/>
        </w:rPr>
      </w:pPr>
      <w:r>
        <w:rPr>
          <w:rFonts w:cs="Arial" w:ascii="Arial" w:hAnsi="Arial"/>
          <w:sz w:val="20"/>
        </w:rPr>
      </w:r>
    </w:p>
    <w:p>
      <w:pPr>
        <w:pStyle w:val="Normal"/>
        <w:jc w:val="both"/>
        <w:rPr/>
      </w:pPr>
      <w:r>
        <w:rPr>
          <w:rFonts w:cs="Arial" w:ascii="Arial" w:hAnsi="Arial"/>
          <w:b/>
          <w:sz w:val="20"/>
          <w:u w:val="single"/>
        </w:rPr>
        <w:t>Provisions for Standard Offer Service</w:t>
      </w:r>
      <w:r>
        <w:rPr>
          <w:rFonts w:cs="Arial" w:ascii="Arial" w:hAnsi="Arial"/>
          <w:sz w:val="20"/>
        </w:rPr>
        <w:t>. "Standard Offer Service" means the electric generation service provided to customers who have not selected, or have terminated or been terminated by, a Competitive Supplier and have been placed on "standard offer service". No provisions are included in the Agreement with respect to Standard Offer Service, however, in the event the Agreement is rescinded or terminated and you do not elect to receive service from another Competitive Supplier, you should receive Standard Offer Service from your Utility.</w:t>
      </w:r>
    </w:p>
    <w:p>
      <w:pPr>
        <w:pStyle w:val="Normal"/>
        <w:jc w:val="both"/>
        <w:rPr>
          <w:rFonts w:ascii="Arial" w:hAnsi="Arial" w:cs="Arial"/>
          <w:sz w:val="20"/>
        </w:rPr>
      </w:pPr>
      <w:r>
        <w:rPr>
          <w:rFonts w:cs="Arial" w:ascii="Arial" w:hAnsi="Arial"/>
          <w:sz w:val="20"/>
        </w:rPr>
      </w:r>
    </w:p>
    <w:p>
      <w:pPr>
        <w:pStyle w:val="Normal"/>
        <w:widowControl w:val="false"/>
        <w:jc w:val="both"/>
        <w:rPr/>
      </w:pPr>
      <w:r>
        <w:rPr>
          <w:rFonts w:cs="Arial" w:ascii="Arial" w:hAnsi="Arial"/>
          <w:b/>
          <w:sz w:val="20"/>
          <w:u w:val="single"/>
        </w:rPr>
        <w:t>Method Whereby the Customer will be Notified of Changes to the Terms of Service</w:t>
      </w:r>
      <w:r>
        <w:rPr>
          <w:rFonts w:cs="Arial" w:ascii="Arial" w:hAnsi="Arial"/>
          <w:sz w:val="20"/>
        </w:rPr>
        <w:t xml:space="preserve">. The terms under which you will receive energy service from us may be amended as provided in the Agreement. If the Rules allow us to make changes other than as provided in the Agreement, we will provide notice to you and inform you of the effect of such changes.  You will receive notification by regular mail, facsimile or other acceptable means of any changes to the terms of service. </w:t>
      </w:r>
    </w:p>
    <w:p>
      <w:pPr>
        <w:pStyle w:val="Normal"/>
        <w:widowControl w:val="false"/>
        <w:jc w:val="both"/>
        <w:rPr>
          <w:rFonts w:ascii="Arial" w:hAnsi="Arial" w:cs="Arial"/>
          <w:sz w:val="20"/>
        </w:rPr>
      </w:pPr>
      <w:r>
        <w:rPr>
          <w:rFonts w:cs="Arial" w:ascii="Arial" w:hAnsi="Arial"/>
          <w:sz w:val="20"/>
        </w:rPr>
      </w:r>
    </w:p>
    <w:p>
      <w:pPr>
        <w:pStyle w:val="Normal"/>
        <w:widowControl w:val="false"/>
        <w:jc w:val="both"/>
        <w:rPr>
          <w:rFonts w:ascii="Arial" w:hAnsi="Arial" w:cs="Arial"/>
          <w:b/>
          <w:sz w:val="20"/>
        </w:rPr>
      </w:pPr>
      <w:r>
        <w:rPr>
          <w:rFonts w:cs="Arial" w:ascii="Arial" w:hAnsi="Arial"/>
          <w:b/>
          <w:sz w:val="20"/>
          <w:u w:val="single"/>
        </w:rPr>
        <w:t>Assignment</w:t>
      </w:r>
      <w:r>
        <w:rPr>
          <w:rFonts w:cs="Arial" w:ascii="Arial" w:hAnsi="Arial"/>
          <w:sz w:val="20"/>
        </w:rPr>
        <w:t>.  As provided in the Agreement, we will provide you with notice in the event of an assignment which in any way affects your rights and obligations under the Agreement.</w:t>
      </w:r>
    </w:p>
    <w:p>
      <w:pPr>
        <w:pStyle w:val="Normal"/>
        <w:widowControl w:val="false"/>
        <w:jc w:val="both"/>
        <w:rPr>
          <w:rFonts w:ascii="Arial" w:hAnsi="Arial" w:cs="Arial"/>
          <w:b/>
          <w:sz w:val="20"/>
        </w:rPr>
      </w:pPr>
      <w:r>
        <w:rPr>
          <w:rFonts w:cs="Arial" w:ascii="Arial" w:hAnsi="Arial"/>
          <w:b/>
          <w:sz w:val="20"/>
        </w:rPr>
      </w:r>
    </w:p>
    <w:p>
      <w:pPr>
        <w:pStyle w:val="Normal"/>
        <w:widowControl w:val="false"/>
        <w:jc w:val="both"/>
        <w:rPr/>
      </w:pPr>
      <w:r>
        <w:rPr>
          <w:rFonts w:cs="Arial" w:ascii="Arial" w:hAnsi="Arial"/>
          <w:b/>
          <w:sz w:val="20"/>
        </w:rPr>
        <w:t>“</w:t>
      </w:r>
      <w:r>
        <w:rPr>
          <w:rFonts w:cs="Arial" w:ascii="Arial" w:hAnsi="Arial"/>
          <w:b/>
          <w:sz w:val="20"/>
          <w:u w:val="single"/>
        </w:rPr>
        <w:t>Do-Not-Call-List”</w:t>
      </w:r>
      <w:r>
        <w:rPr>
          <w:rFonts w:cs="Arial" w:ascii="Arial" w:hAnsi="Arial"/>
          <w:b/>
          <w:sz w:val="20"/>
        </w:rPr>
        <w:t xml:space="preserve">.  </w:t>
      </w:r>
      <w:r>
        <w:rPr>
          <w:rFonts w:cs="Arial" w:ascii="Arial" w:hAnsi="Arial"/>
          <w:sz w:val="20"/>
        </w:rPr>
        <w:t>The Maine Public Utilities Commission (“</w:t>
      </w:r>
      <w:r>
        <w:rPr>
          <w:rFonts w:cs="Arial" w:ascii="Arial" w:hAnsi="Arial"/>
          <w:sz w:val="20"/>
          <w:u w:val="single"/>
        </w:rPr>
        <w:t>MPUC</w:t>
      </w:r>
      <w:r>
        <w:rPr>
          <w:rFonts w:cs="Arial" w:ascii="Arial" w:hAnsi="Arial"/>
          <w:sz w:val="20"/>
        </w:rPr>
        <w:t>”) maintains a “Do-Not-Call” list of customers who have requested that they not receive telemarketing calls from Competitive Suppliers.  A customer will remain on the “Do-Not-Call” list for five years or until the customer requests to be removed from the list.  You may request placement of your name on the “Do-Not-Call” list by contacting the MPUC by telephone, in writing, or by any other commercially accepted means (</w:t>
      </w:r>
      <w:r>
        <w:rPr>
          <w:rFonts w:cs="Arial" w:ascii="Arial" w:hAnsi="Arial"/>
          <w:i/>
          <w:sz w:val="20"/>
        </w:rPr>
        <w:t xml:space="preserve">See </w:t>
      </w:r>
      <w:r>
        <w:rPr>
          <w:rFonts w:cs="Arial" w:ascii="Arial" w:hAnsi="Arial"/>
          <w:sz w:val="20"/>
        </w:rPr>
        <w:t>contact information provided below under “How to Contact the MPUC”)</w:t>
      </w:r>
    </w:p>
    <w:p>
      <w:pPr>
        <w:pStyle w:val="Normal"/>
        <w:widowControl w:val="false"/>
        <w:jc w:val="both"/>
        <w:rPr>
          <w:rFonts w:ascii="Arial" w:hAnsi="Arial" w:cs="Arial"/>
          <w:sz w:val="20"/>
        </w:rPr>
      </w:pPr>
      <w:r>
        <w:rPr>
          <w:rFonts w:cs="Arial" w:ascii="Arial" w:hAnsi="Arial"/>
          <w:sz w:val="20"/>
        </w:rPr>
      </w:r>
    </w:p>
    <w:p>
      <w:pPr>
        <w:pStyle w:val="Normal"/>
        <w:widowControl w:val="false"/>
        <w:jc w:val="both"/>
        <w:rPr/>
      </w:pPr>
      <w:r>
        <w:rPr>
          <w:rFonts w:cs="Arial" w:ascii="Arial" w:hAnsi="Arial"/>
          <w:b/>
          <w:sz w:val="20"/>
          <w:u w:val="single"/>
        </w:rPr>
        <w:t>How to Contact the MPUC</w:t>
      </w:r>
      <w:r>
        <w:rPr>
          <w:rFonts w:cs="Arial" w:ascii="Arial" w:hAnsi="Arial"/>
          <w:b/>
          <w:sz w:val="20"/>
        </w:rPr>
        <w:t>.</w:t>
      </w:r>
      <w:r>
        <w:rPr>
          <w:rFonts w:cs="Arial" w:ascii="Arial" w:hAnsi="Arial"/>
          <w:sz w:val="20"/>
        </w:rPr>
        <w:t xml:space="preserve">  You may contact the MPUC for information on consumer protection rights and to place your name on (or remove your name from) the “Do-Not-Call” list as follows:</w:t>
      </w:r>
    </w:p>
    <w:p>
      <w:pPr>
        <w:pStyle w:val="Normal"/>
        <w:widowControl w:val="false"/>
        <w:jc w:val="both"/>
        <w:rPr>
          <w:rFonts w:ascii="Arial" w:hAnsi="Arial" w:cs="Arial"/>
          <w:sz w:val="20"/>
        </w:rPr>
      </w:pPr>
      <w:r>
        <w:rPr>
          <w:rFonts w:cs="Arial" w:ascii="Arial" w:hAnsi="Arial"/>
          <w:sz w:val="20"/>
        </w:rPr>
      </w:r>
    </w:p>
    <w:p>
      <w:pPr>
        <w:pStyle w:val="Normal"/>
        <w:widowControl w:val="false"/>
        <w:ind w:start="2160" w:end="0"/>
        <w:jc w:val="both"/>
        <w:rPr>
          <w:rFonts w:ascii="Arial" w:hAnsi="Arial" w:cs="Arial"/>
          <w:sz w:val="20"/>
        </w:rPr>
      </w:pPr>
      <w:r>
        <w:rPr>
          <w:rFonts w:cs="Arial" w:ascii="Arial" w:hAnsi="Arial"/>
          <w:sz w:val="20"/>
        </w:rPr>
        <w:t>Maine Public Utilities Commission</w:t>
      </w:r>
    </w:p>
    <w:p>
      <w:pPr>
        <w:pStyle w:val="Normal"/>
        <w:widowControl w:val="false"/>
        <w:ind w:start="2160" w:end="0"/>
        <w:jc w:val="both"/>
        <w:rPr>
          <w:rFonts w:ascii="Arial" w:hAnsi="Arial" w:cs="Arial"/>
          <w:sz w:val="20"/>
        </w:rPr>
      </w:pPr>
      <w:r>
        <w:rPr>
          <w:rFonts w:cs="Arial" w:ascii="Arial" w:hAnsi="Arial"/>
          <w:sz w:val="20"/>
        </w:rPr>
        <w:t>242 State Street</w:t>
      </w:r>
    </w:p>
    <w:p>
      <w:pPr>
        <w:pStyle w:val="Normal"/>
        <w:widowControl w:val="false"/>
        <w:ind w:start="2160" w:end="0"/>
        <w:jc w:val="both"/>
        <w:rPr>
          <w:rFonts w:ascii="Arial" w:hAnsi="Arial" w:cs="Arial"/>
          <w:sz w:val="20"/>
        </w:rPr>
      </w:pPr>
      <w:r>
        <w:rPr>
          <w:rFonts w:cs="Arial" w:ascii="Arial" w:hAnsi="Arial"/>
          <w:sz w:val="20"/>
        </w:rPr>
        <w:t>18 State House Station</w:t>
      </w:r>
    </w:p>
    <w:p>
      <w:pPr>
        <w:pStyle w:val="Normal"/>
        <w:widowControl w:val="false"/>
        <w:ind w:start="2160" w:end="0"/>
        <w:jc w:val="both"/>
        <w:rPr>
          <w:rFonts w:ascii="Arial" w:hAnsi="Arial" w:cs="Arial"/>
          <w:sz w:val="20"/>
        </w:rPr>
      </w:pPr>
      <w:r>
        <w:rPr>
          <w:rFonts w:cs="Arial" w:ascii="Arial" w:hAnsi="Arial"/>
          <w:sz w:val="20"/>
        </w:rPr>
        <w:t>Augusta, Maine 04333--0018</w:t>
      </w:r>
    </w:p>
    <w:p>
      <w:pPr>
        <w:pStyle w:val="Normal"/>
        <w:widowControl w:val="false"/>
        <w:ind w:start="2160" w:end="0"/>
        <w:jc w:val="both"/>
        <w:rPr>
          <w:rFonts w:ascii="Arial" w:hAnsi="Arial" w:cs="Arial"/>
          <w:sz w:val="20"/>
        </w:rPr>
      </w:pPr>
      <w:r>
        <w:rPr>
          <w:rFonts w:cs="Arial" w:ascii="Arial" w:hAnsi="Arial"/>
          <w:sz w:val="20"/>
        </w:rPr>
        <w:t>Telephone: (207) 287-3831</w:t>
      </w:r>
    </w:p>
    <w:p>
      <w:pPr>
        <w:pStyle w:val="Normal"/>
        <w:widowControl w:val="false"/>
        <w:ind w:start="2160" w:end="0"/>
        <w:jc w:val="both"/>
        <w:rPr>
          <w:rFonts w:ascii="Arial" w:hAnsi="Arial" w:cs="Arial"/>
          <w:sz w:val="20"/>
        </w:rPr>
      </w:pPr>
      <w:r>
        <w:rPr>
          <w:rFonts w:cs="Arial" w:ascii="Arial" w:hAnsi="Arial"/>
          <w:sz w:val="20"/>
        </w:rPr>
        <w:t>Facsimile: (207) 287-1039</w:t>
      </w:r>
    </w:p>
    <w:p>
      <w:pPr>
        <w:pStyle w:val="Normal"/>
        <w:widowControl w:val="false"/>
        <w:ind w:start="2160" w:end="0"/>
        <w:jc w:val="both"/>
        <w:rPr>
          <w:rFonts w:ascii="Arial" w:hAnsi="Arial" w:cs="Arial"/>
          <w:sz w:val="20"/>
        </w:rPr>
      </w:pPr>
      <w:r>
        <w:rPr>
          <w:rFonts w:cs="Arial" w:ascii="Arial" w:hAnsi="Arial"/>
          <w:sz w:val="20"/>
        </w:rPr>
        <w:t>Email: maine.puc@state.me.us</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HN 48726.2 02618.00544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 xml:space="preserve">HN 48726.2 02618.00544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u w:val="single"/>
      </w:rPr>
    </w:pPr>
    <w:r>
      <w:rPr>
        <w:b/>
        <w:u w:val="single"/>
      </w:rPr>
      <w:t>LLGM Draft 8.03.01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2z0">
    <w:name w:val="WW8Num2z0"/>
    <w:qFormat/>
    <w:rPr>
      <w:color w:val="000000"/>
    </w:rPr>
  </w:style>
  <w:style w:type="character" w:styleId="DefaultParagraphFont">
    <w:name w:val="Default Paragraph Font"/>
    <w:qFormat/>
    <w:rPr/>
  </w:style>
  <w:style w:type="character" w:styleId="Hidden">
    <w:name w:val="Hidden"/>
    <w:basedOn w:val="DefaultParagraphFont"/>
    <w:qFormat/>
    <w:rPr>
      <w:vanish/>
      <w:color w:val="FF0000"/>
    </w:rPr>
  </w:style>
  <w:style w:type="paragraph" w:styleId="Heading">
    <w:name w:val="Heading"/>
    <w:basedOn w:val="Normal"/>
    <w:next w:val="BodyText"/>
    <w:qFormat/>
    <w:pPr>
      <w:jc w:val="center"/>
      <w:outlineLvl w:val="0"/>
    </w:pPr>
    <w:rPr>
      <w:rFonts w:ascii="Arial" w:hAnsi="Arial" w:cs="Arial"/>
      <w:b/>
      <w:caps/>
      <w:sz w:val="20"/>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Outline3">
    <w:name w:val="Outline 3"/>
    <w:basedOn w:val="Normal"/>
    <w:qFormat/>
    <w:pPr/>
    <w:rPr>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2001-08-08T20:18:00Z</dcterms:created>
  <dc:creator>LeBoeuf, Lamb, Greene &amp; MacRae, L.L.P.</dc:creator>
  <dc:description/>
  <cp:keywords>HN 48726.3 02618 00810 8/8/2001  3:37 PM</cp:keywords>
  <dc:language>en-CA</dc:language>
  <cp:lastModifiedBy>LeBoeuf, Lamb, Greene &amp; MacRae, L.L.P.</cp:lastModifiedBy>
  <cp:lastPrinted>2001-08-07T18:02:00Z</cp:lastPrinted>
  <dcterms:modified xsi:type="dcterms:W3CDTF">2001-08-08T20:18:00Z</dcterms:modified>
  <cp:revision>3</cp:revision>
  <dc:subject/>
  <dc:title>Heading 1</dc:title>
</cp:coreProperties>
</file>