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numPr>
          <w:ilvl w:val="0"/>
          <w:numId w:val="0"/>
        </w:numPr>
        <w:outlineLvl w:val="0"/>
        <w:rPr/>
      </w:pPr>
      <w:r>
        <w:rPr/>
        <w:t>MAINE</w:t>
      </w:r>
    </w:p>
    <w:p>
      <w:pPr>
        <w:pStyle w:val="Subtitle"/>
        <w:numPr>
          <w:ilvl w:val="0"/>
          <w:numId w:val="0"/>
        </w:numPr>
        <w:outlineLvl w:val="0"/>
        <w:rPr/>
      </w:pPr>
      <w:r>
        <w:rPr/>
        <w:t>ELECTRICITY FACTS</w:t>
      </w:r>
    </w:p>
    <w:p>
      <w:pPr>
        <w:pStyle w:val="Normal"/>
        <w:numPr>
          <w:ilvl w:val="0"/>
          <w:numId w:val="0"/>
        </w:numPr>
        <w:jc w:val="center"/>
        <w:outlineLvl w:val="0"/>
        <w:rPr>
          <w:b/>
          <w:smallCaps/>
        </w:rPr>
      </w:pPr>
      <w:r>
        <w:rPr>
          <w:b/>
          <w:smallCaps/>
        </w:rPr>
      </w:r>
    </w:p>
    <w:p>
      <w:pPr>
        <w:pStyle w:val="Normal"/>
        <w:numPr>
          <w:ilvl w:val="0"/>
          <w:numId w:val="0"/>
        </w:numPr>
        <w:jc w:val="center"/>
        <w:outlineLvl w:val="0"/>
        <w:rPr>
          <w:b/>
          <w:smallCaps/>
          <w:sz w:val="28"/>
        </w:rPr>
      </w:pPr>
      <w:r>
        <w:rPr>
          <w:b/>
          <w:smallCaps/>
          <w:sz w:val="28"/>
        </w:rPr>
        <w:t>Enron Energy Services, Inc.</w:t>
      </w:r>
    </w:p>
    <w:p>
      <w:pPr>
        <w:pStyle w:val="Normal"/>
        <w:widowControl w:val="false"/>
        <w:jc w:val="center"/>
        <w:rPr>
          <w:b/>
          <w:smallCaps/>
          <w:position w:val="6"/>
          <w:sz w:val="16"/>
        </w:rPr>
      </w:pPr>
      <w:r>
        <w:rPr>
          <w:b/>
          <w:smallCaps/>
          <w:position w:val="6"/>
          <w:sz w:val="16"/>
        </w:rPr>
      </w:r>
    </w:p>
    <w:p>
      <w:pPr>
        <w:pStyle w:val="Normal"/>
        <w:widowControl w:val="false"/>
        <w:jc w:val="center"/>
        <w:rPr>
          <w:b/>
          <w:smallCaps/>
          <w:position w:val="7"/>
          <w:sz w:val="18"/>
        </w:rPr>
      </w:pPr>
      <w:r>
        <w:rPr>
          <w:b/>
          <w:smallCaps/>
          <w:position w:val="7"/>
          <w:sz w:val="18"/>
        </w:rPr>
      </w:r>
    </w:p>
    <w:p>
      <w:pPr>
        <w:pStyle w:val="Normal"/>
        <w:rPr>
          <w:b/>
          <w:smallCaps/>
          <w:sz w:val="18"/>
        </w:rPr>
      </w:pPr>
      <w:r>
        <w:rPr>
          <w:b/>
          <w:smallCaps/>
          <w:sz w:val="18"/>
        </w:rPr>
      </w:r>
    </w:p>
    <w:tbl>
      <w:tblPr>
        <w:tblW w:w="9990" w:type="dxa"/>
        <w:jc w:val="start"/>
        <w:tblInd w:w="-342" w:type="dxa"/>
        <w:tblLayout w:type="fixed"/>
        <w:tblCellMar>
          <w:top w:w="0" w:type="dxa"/>
          <w:start w:w="108" w:type="dxa"/>
          <w:bottom w:w="0" w:type="dxa"/>
          <w:end w:w="108" w:type="dxa"/>
        </w:tblCellMar>
      </w:tblPr>
      <w:tblGrid>
        <w:gridCol w:w="2700"/>
        <w:gridCol w:w="270"/>
        <w:gridCol w:w="360"/>
        <w:gridCol w:w="1260"/>
        <w:gridCol w:w="180"/>
        <w:gridCol w:w="1170"/>
        <w:gridCol w:w="900"/>
        <w:gridCol w:w="360"/>
        <w:gridCol w:w="90"/>
        <w:gridCol w:w="270"/>
        <w:gridCol w:w="1080"/>
        <w:gridCol w:w="990"/>
        <w:gridCol w:w="360"/>
      </w:tblGrid>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Heading1"/>
              <w:ind w:hanging="0" w:start="0"/>
              <w:rPr>
                <w:sz w:val="32"/>
              </w:rPr>
            </w:pPr>
            <w:r>
              <w:rPr>
                <w:sz w:val="32"/>
              </w:rPr>
              <w:t>Generation</w:t>
            </w:r>
          </w:p>
          <w:p>
            <w:pPr>
              <w:pStyle w:val="Heading2"/>
              <w:ind w:hanging="0" w:start="0"/>
              <w:rPr>
                <w:sz w:val="32"/>
              </w:rPr>
            </w:pPr>
            <w:r>
              <w:rPr>
                <w:sz w:val="32"/>
              </w:rPr>
              <w:t>Price</w:t>
            </w:r>
          </w:p>
        </w:tc>
        <w:tc>
          <w:tcPr>
            <w:tcW w:w="7290" w:type="dxa"/>
            <w:gridSpan w:val="12"/>
            <w:tcBorders>
              <w:top w:val="single" w:sz="24" w:space="0" w:color="000000"/>
              <w:start w:val="single" w:sz="6" w:space="0" w:color="000000"/>
              <w:bottom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Average price per kWh at</w:t>
            </w:r>
          </w:p>
        </w:tc>
        <w:tc>
          <w:tcPr>
            <w:tcW w:w="1890" w:type="dxa"/>
            <w:gridSpan w:val="3"/>
            <w:tcBorders>
              <w:top w:val="single" w:sz="6" w:space="0" w:color="000000"/>
              <w:start w:val="single" w:sz="6" w:space="0" w:color="000000"/>
              <w:bottom w:val="single" w:sz="6" w:space="0" w:color="000000"/>
              <w:end w:val="single" w:sz="6" w:space="0" w:color="000000"/>
            </w:tcBorders>
          </w:tcPr>
          <w:p>
            <w:pPr>
              <w:pStyle w:val="Normal"/>
              <w:rPr/>
            </w:pPr>
            <w:r>
              <w:rPr/>
              <w:t>Avg Use per Month</w:t>
            </w:r>
          </w:p>
        </w:tc>
        <w:tc>
          <w:tcPr>
            <w:tcW w:w="135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 kWh</w:t>
            </w:r>
          </w:p>
        </w:tc>
        <w:tc>
          <w:tcPr>
            <w:tcW w:w="1350"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10,000 kWh</w:t>
            </w:r>
          </w:p>
        </w:tc>
        <w:tc>
          <w:tcPr>
            <w:tcW w:w="135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20,000 kWh</w:t>
            </w:r>
          </w:p>
        </w:tc>
        <w:tc>
          <w:tcPr>
            <w:tcW w:w="1350" w:type="dxa"/>
            <w:gridSpan w:val="2"/>
            <w:tcBorders>
              <w:top w:val="single" w:sz="6" w:space="0" w:color="000000"/>
              <w:start w:val="single" w:sz="6" w:space="0" w:color="000000"/>
              <w:bottom w:val="single" w:sz="6" w:space="0" w:color="000000"/>
              <w:end w:val="single" w:sz="24" w:space="0" w:color="000000"/>
            </w:tcBorders>
            <w:vAlign w:val="center"/>
          </w:tcPr>
          <w:p>
            <w:pPr>
              <w:pStyle w:val="Normal"/>
              <w:tabs>
                <w:tab w:val="clear" w:pos="720"/>
                <w:tab w:val="decimal" w:pos="342" w:leader="none"/>
              </w:tabs>
              <w:jc w:val="center"/>
              <w:rPr>
                <w:sz w:val="16"/>
              </w:rPr>
            </w:pPr>
            <w:r>
              <w:rPr>
                <w:sz w:val="16"/>
              </w:rPr>
              <w:t>40,000 kWh</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 xml:space="preserve">different levels of use for </w:t>
            </w:r>
          </w:p>
        </w:tc>
        <w:tc>
          <w:tcPr>
            <w:tcW w:w="1890" w:type="dxa"/>
            <w:gridSpan w:val="3"/>
            <w:tcBorders>
              <w:top w:val="single" w:sz="6" w:space="0" w:color="000000"/>
              <w:start w:val="single" w:sz="6" w:space="0" w:color="000000"/>
              <w:end w:val="single" w:sz="6" w:space="0" w:color="000000"/>
            </w:tcBorders>
            <w:shd w:fill="000000" w:val="clear"/>
          </w:tcPr>
          <w:p>
            <w:pPr>
              <w:pStyle w:val="Normal"/>
              <w:rPr/>
            </w:pPr>
            <w:r>
              <w:rPr/>
              <w:t>Avg Price per kWh</w:t>
            </w:r>
          </w:p>
        </w:tc>
        <w:tc>
          <w:tcPr>
            <w:tcW w:w="1350" w:type="dxa"/>
            <w:gridSpan w:val="2"/>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5.08 cents</w:t>
            </w:r>
          </w:p>
        </w:tc>
        <w:tc>
          <w:tcPr>
            <w:tcW w:w="1350" w:type="dxa"/>
            <w:gridSpan w:val="3"/>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5.08 cents</w:t>
            </w:r>
          </w:p>
        </w:tc>
        <w:tc>
          <w:tcPr>
            <w:tcW w:w="1350" w:type="dxa"/>
            <w:gridSpan w:val="2"/>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5.08 cents</w:t>
            </w:r>
          </w:p>
        </w:tc>
        <w:tc>
          <w:tcPr>
            <w:tcW w:w="1350" w:type="dxa"/>
            <w:gridSpan w:val="2"/>
            <w:tcBorders>
              <w:top w:val="single" w:sz="6" w:space="0" w:color="000000"/>
              <w:start w:val="single" w:sz="6" w:space="0" w:color="000000"/>
              <w:end w:val="single" w:sz="24" w:space="0" w:color="000000"/>
            </w:tcBorders>
            <w:shd w:fill="000000" w:val="clear"/>
            <w:vAlign w:val="center"/>
          </w:tcPr>
          <w:p>
            <w:pPr>
              <w:pStyle w:val="Normal"/>
              <w:jc w:val="center"/>
              <w:rPr>
                <w:sz w:val="16"/>
              </w:rPr>
            </w:pPr>
            <w:r>
              <w:rPr>
                <w:sz w:val="16"/>
              </w:rPr>
              <w:t>5.08 cents</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 xml:space="preserve">EESI customers for the last </w:t>
            </w:r>
          </w:p>
        </w:tc>
        <w:tc>
          <w:tcPr>
            <w:tcW w:w="7290" w:type="dxa"/>
            <w:gridSpan w:val="12"/>
            <w:tcBorders>
              <w:top w:val="single" w:sz="6" w:space="0" w:color="000000"/>
              <w:start w:val="single" w:sz="6" w:space="0" w:color="000000"/>
              <w:end w:val="single" w:sz="24" w:space="0" w:color="000000"/>
            </w:tcBorders>
          </w:tcPr>
          <w:p>
            <w:pPr>
              <w:pStyle w:val="Normal"/>
              <w:tabs>
                <w:tab w:val="clear" w:pos="720"/>
                <w:tab w:val="decimal" w:pos="342" w:leader="none"/>
              </w:tabs>
              <w:jc w:val="both"/>
              <w:rPr>
                <w:sz w:val="16"/>
              </w:rPr>
            </w:pPr>
            <w:r>
              <w:rPr/>
              <w:t>Your average generation charge is based on your Agreement.  As the Rules require, the</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month of the prior quarter.</w:t>
            </w:r>
          </w:p>
        </w:tc>
        <w:tc>
          <w:tcPr>
            <w:tcW w:w="7290" w:type="dxa"/>
            <w:gridSpan w:val="12"/>
            <w:tcBorders>
              <w:start w:val="single" w:sz="6" w:space="0" w:color="000000"/>
              <w:end w:val="single" w:sz="24" w:space="0" w:color="000000"/>
            </w:tcBorders>
          </w:tcPr>
          <w:p>
            <w:pPr>
              <w:pStyle w:val="Normal"/>
              <w:tabs>
                <w:tab w:val="clear" w:pos="720"/>
                <w:tab w:val="decimal" w:pos="342" w:leader="none"/>
              </w:tabs>
              <w:jc w:val="both"/>
              <w:rPr>
                <w:sz w:val="16"/>
              </w:rPr>
            </w:pPr>
            <w:r>
              <w:rPr/>
              <w:t xml:space="preserve">information provided above is the average price per kWh for EESI customers for the </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pPr>
            <w:r>
              <w:rPr/>
              <w:t xml:space="preserve">Prices do not include </w:t>
            </w:r>
          </w:p>
        </w:tc>
        <w:tc>
          <w:tcPr>
            <w:tcW w:w="7290" w:type="dxa"/>
            <w:gridSpan w:val="12"/>
            <w:tcBorders>
              <w:start w:val="single" w:sz="6" w:space="0" w:color="000000"/>
              <w:end w:val="single" w:sz="24" w:space="0" w:color="000000"/>
            </w:tcBorders>
          </w:tcPr>
          <w:p>
            <w:pPr>
              <w:pStyle w:val="Normal"/>
              <w:tabs>
                <w:tab w:val="clear" w:pos="720"/>
                <w:tab w:val="decimal" w:pos="342" w:leader="none"/>
              </w:tabs>
              <w:rPr>
                <w:sz w:val="16"/>
              </w:rPr>
            </w:pPr>
            <w:r>
              <w:rPr/>
              <w:t xml:space="preserve">last month of the prior quarter.  See your most recent bill for your monthly use and </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regulated charges for customer service and delivery.</w:t>
            </w:r>
          </w:p>
        </w:tc>
        <w:tc>
          <w:tcPr>
            <w:tcW w:w="7290" w:type="dxa"/>
            <w:gridSpan w:val="12"/>
            <w:tcBorders>
              <w:start w:val="single" w:sz="6" w:space="0" w:color="000000"/>
              <w:bottom w:val="single" w:sz="6" w:space="0" w:color="000000"/>
              <w:end w:val="single" w:sz="24" w:space="0" w:color="000000"/>
            </w:tcBorders>
          </w:tcPr>
          <w:p>
            <w:pPr>
              <w:pStyle w:val="Normal"/>
              <w:tabs>
                <w:tab w:val="clear" w:pos="720"/>
                <w:tab w:val="decimal" w:pos="342" w:leader="none"/>
              </w:tabs>
              <w:rPr/>
            </w:pPr>
            <w:r>
              <w:rPr/>
              <w:t>your Agreement for actual prices.</w:t>
            </w:r>
          </w:p>
        </w:tc>
      </w:tr>
      <w:tr>
        <w:trPr/>
        <w:tc>
          <w:tcPr>
            <w:tcW w:w="2700" w:type="dxa"/>
            <w:tcBorders>
              <w:top w:val="single" w:sz="24" w:space="0" w:color="FFFFFF"/>
              <w:start w:val="single" w:sz="24" w:space="0" w:color="000000"/>
              <w:bottom w:val="single" w:sz="24" w:space="0" w:color="FFFFFF"/>
              <w:end w:val="single" w:sz="6" w:space="0" w:color="000000"/>
            </w:tcBorders>
            <w:shd w:fill="0C0C0C" w:val="clear"/>
          </w:tcPr>
          <w:p>
            <w:pPr>
              <w:pStyle w:val="Normal"/>
              <w:snapToGrid w:val="false"/>
              <w:rPr/>
            </w:pPr>
            <w:r>
              <w:rPr/>
            </w:r>
          </w:p>
          <w:p>
            <w:pPr>
              <w:pStyle w:val="Heading3"/>
              <w:ind w:hanging="0" w:start="0"/>
              <w:rPr>
                <w:sz w:val="32"/>
              </w:rPr>
            </w:pPr>
            <w:r>
              <w:rPr>
                <w:sz w:val="32"/>
              </w:rPr>
              <w:t>Contract</w:t>
            </w:r>
          </w:p>
          <w:p>
            <w:pPr>
              <w:pStyle w:val="Normal"/>
              <w:rPr>
                <w:sz w:val="32"/>
              </w:rPr>
            </w:pPr>
            <w:r>
              <w:rPr>
                <w:sz w:val="32"/>
              </w:rPr>
            </w:r>
          </w:p>
        </w:tc>
        <w:tc>
          <w:tcPr>
            <w:tcW w:w="2070" w:type="dxa"/>
            <w:gridSpan w:val="4"/>
            <w:tcBorders>
              <w:top w:val="single" w:sz="24" w:space="0" w:color="000000"/>
              <w:start w:val="single" w:sz="6" w:space="0" w:color="000000"/>
              <w:bottom w:val="single" w:sz="24" w:space="0" w:color="000000"/>
              <w:end w:val="single" w:sz="6" w:space="0" w:color="000000"/>
            </w:tcBorders>
          </w:tcPr>
          <w:p>
            <w:pPr>
              <w:pStyle w:val="Normal"/>
              <w:spacing w:before="120" w:after="120"/>
              <w:rPr/>
            </w:pPr>
            <w:r>
              <w:rPr/>
              <w:t>Contract Duration: See your Agreement or Terms of Service.</w:t>
            </w:r>
          </w:p>
        </w:tc>
        <w:tc>
          <w:tcPr>
            <w:tcW w:w="5220" w:type="dxa"/>
            <w:gridSpan w:val="8"/>
            <w:tcBorders>
              <w:top w:val="single" w:sz="24" w:space="0" w:color="000000"/>
              <w:start w:val="single" w:sz="6" w:space="0" w:color="000000"/>
              <w:bottom w:val="single" w:sz="24" w:space="0" w:color="000000"/>
              <w:end w:val="single" w:sz="24" w:space="0" w:color="000000"/>
            </w:tcBorders>
          </w:tcPr>
          <w:p>
            <w:pPr>
              <w:pStyle w:val="Normal"/>
              <w:tabs>
                <w:tab w:val="clear" w:pos="720"/>
                <w:tab w:val="decimal" w:pos="342" w:leader="none"/>
              </w:tabs>
              <w:spacing w:before="120" w:after="120"/>
              <w:rPr/>
            </w:pPr>
            <w:r>
              <w:rPr/>
              <w:t>Contract Terms: Fixed generation price plus variable components over contract period.</w:t>
            </w:r>
          </w:p>
        </w:tc>
      </w:tr>
      <w:tr>
        <w:trPr>
          <w:trHeight w:val="264"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Power Sources</w:t>
            </w:r>
          </w:p>
        </w:tc>
        <w:tc>
          <w:tcPr>
            <w:tcW w:w="270" w:type="dxa"/>
            <w:tcBorders>
              <w:top w:val="single" w:sz="24" w:space="0" w:color="000000"/>
              <w:start w:val="single" w:sz="6" w:space="0" w:color="000000"/>
              <w:end w:val="single" w:sz="6" w:space="0" w:color="000000"/>
            </w:tcBorders>
          </w:tcPr>
          <w:p>
            <w:pPr>
              <w:pStyle w:val="Normal"/>
              <w:snapToGrid w:val="false"/>
              <w:rPr>
                <w:sz w:val="32"/>
              </w:rPr>
            </w:pPr>
            <w:r>
              <w:rPr>
                <w:sz w:val="32"/>
              </w:rPr>
            </w:r>
          </w:p>
        </w:tc>
        <w:tc>
          <w:tcPr>
            <w:tcW w:w="1800" w:type="dxa"/>
            <w:gridSpan w:val="3"/>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Power Sources</w:t>
            </w:r>
          </w:p>
        </w:tc>
        <w:tc>
          <w:tcPr>
            <w:tcW w:w="2070" w:type="dxa"/>
            <w:gridSpan w:val="2"/>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Known Resources</w:t>
            </w:r>
          </w:p>
        </w:tc>
        <w:tc>
          <w:tcPr>
            <w:tcW w:w="1800" w:type="dxa"/>
            <w:gridSpan w:val="4"/>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System Power</w:t>
            </w:r>
          </w:p>
        </w:tc>
        <w:tc>
          <w:tcPr>
            <w:tcW w:w="1350" w:type="dxa"/>
            <w:gridSpan w:val="2"/>
            <w:tcBorders>
              <w:top w:val="single" w:sz="24" w:space="0" w:color="000000"/>
              <w:start w:val="single" w:sz="6" w:space="0" w:color="000000"/>
              <w:bottom w:val="single" w:sz="6" w:space="0" w:color="000000"/>
              <w:end w:val="single" w:sz="24" w:space="0" w:color="000000"/>
            </w:tcBorders>
          </w:tcPr>
          <w:p>
            <w:pPr>
              <w:pStyle w:val="Heading5"/>
              <w:ind w:hanging="0" w:start="0"/>
              <w:rPr/>
            </w:pPr>
            <w:r>
              <w:rPr/>
              <w:t>Total</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Demand for this electricity</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Biomass</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FootnoteText"/>
              <w:tabs>
                <w:tab w:val="clear" w:pos="720"/>
                <w:tab w:val="decimal" w:pos="1062" w:leader="none"/>
              </w:tabs>
              <w:rPr/>
            </w:pPr>
            <w:r>
              <w:rPr/>
              <w:t>1%</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FootnoteText"/>
              <w:tabs>
                <w:tab w:val="clear" w:pos="720"/>
                <w:tab w:val="decimal" w:pos="342" w:leader="none"/>
              </w:tabs>
              <w:rPr/>
            </w:pPr>
            <w:r>
              <w:rPr/>
              <w:t>1%</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product in the preceding 12</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Coal</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10%</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 xml:space="preserve">months was assigned </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Hydro</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4%</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generation from these</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Nuclear</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12%</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12%</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FootnoteText"/>
              <w:rPr/>
            </w:pPr>
            <w:r>
              <w:rPr/>
              <w:t>sources.</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11%</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11%</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Solar</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Oil</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16%</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16%</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FootnoteText"/>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Other Renewable</w:t>
            </w:r>
            <w:r>
              <w:rPr>
                <w:rStyle w:val="FootnoteCharacters"/>
                <w:rStyle w:val="FootnoteReference"/>
              </w:rPr>
              <w:footnoteReference w:id="2"/>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29%</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2%</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31%</w:t>
            </w:r>
          </w:p>
        </w:tc>
      </w:tr>
      <w:tr>
        <w:trPr/>
        <w:tc>
          <w:tcPr>
            <w:tcW w:w="2700" w:type="dxa"/>
            <w:tcBorders>
              <w:top w:val="single" w:sz="6" w:space="0" w:color="000000"/>
              <w:start w:val="single" w:sz="24" w:space="0" w:color="000000"/>
              <w:end w:val="single" w:sz="6" w:space="0" w:color="000000"/>
            </w:tcBorders>
            <w:shd w:fill="000000" w:val="clear"/>
          </w:tcPr>
          <w:p>
            <w:pPr>
              <w:pStyle w:val="FootnoteText"/>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Wind</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vMerge w:val="restart"/>
            <w:tcBorders>
              <w:top w:val="single" w:sz="6" w:space="0" w:color="000000"/>
              <w:start w:val="single" w:sz="24"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end w:val="single" w:sz="6" w:space="0" w:color="000000"/>
            </w:tcBorders>
          </w:tcPr>
          <w:p>
            <w:pPr>
              <w:pStyle w:val="Normal"/>
              <w:rPr/>
            </w:pPr>
            <w:r>
              <w:rPr/>
              <w:t>Municipal</w:t>
            </w:r>
          </w:p>
        </w:tc>
        <w:tc>
          <w:tcPr>
            <w:tcW w:w="2070" w:type="dxa"/>
            <w:gridSpan w:val="2"/>
            <w:tcBorders>
              <w:top w:val="single" w:sz="6" w:space="0" w:color="000000"/>
              <w:start w:val="single" w:sz="6" w:space="0" w:color="000000"/>
              <w:end w:val="single" w:sz="6" w:space="0" w:color="000000"/>
            </w:tcBorders>
          </w:tcPr>
          <w:p>
            <w:pPr>
              <w:pStyle w:val="Normal"/>
              <w:jc w:val="center"/>
              <w:rPr/>
            </w:pPr>
            <w:r>
              <w:rPr/>
              <w:t>4%</w:t>
            </w:r>
          </w:p>
        </w:tc>
        <w:tc>
          <w:tcPr>
            <w:tcW w:w="1800" w:type="dxa"/>
            <w:gridSpan w:val="4"/>
            <w:tcBorders>
              <w:top w:val="single" w:sz="6" w:space="0" w:color="000000"/>
              <w:start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end w:val="single" w:sz="24" w:space="0" w:color="000000"/>
            </w:tcBorders>
          </w:tcPr>
          <w:p>
            <w:pPr>
              <w:pStyle w:val="Normal"/>
              <w:tabs>
                <w:tab w:val="clear" w:pos="720"/>
                <w:tab w:val="decimal" w:pos="342" w:leader="none"/>
              </w:tabs>
              <w:rPr/>
            </w:pPr>
            <w:r>
              <w:rPr/>
              <w:t>4%</w:t>
            </w:r>
          </w:p>
        </w:tc>
      </w:tr>
      <w:tr>
        <w:trPr/>
        <w:tc>
          <w:tcPr>
            <w:tcW w:w="2700" w:type="dxa"/>
            <w:vMerge w:val="continue"/>
            <w:tcBorders>
              <w:top w:val="single" w:sz="6" w:space="0" w:color="000000"/>
              <w:start w:val="single" w:sz="24"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end w:val="single" w:sz="6" w:space="0" w:color="000000"/>
            </w:tcBorders>
          </w:tcPr>
          <w:p>
            <w:pPr>
              <w:pStyle w:val="Normal"/>
              <w:rPr/>
            </w:pPr>
            <w:r>
              <w:rPr/>
              <w:t>Imported Power</w:t>
            </w:r>
          </w:p>
        </w:tc>
        <w:tc>
          <w:tcPr>
            <w:tcW w:w="2070" w:type="dxa"/>
            <w:gridSpan w:val="2"/>
            <w:tcBorders>
              <w:top w:val="single" w:sz="6" w:space="0" w:color="000000"/>
              <w:start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end w:val="single" w:sz="6" w:space="0" w:color="000000"/>
            </w:tcBorders>
          </w:tcPr>
          <w:p>
            <w:pPr>
              <w:pStyle w:val="Normal"/>
              <w:tabs>
                <w:tab w:val="clear" w:pos="720"/>
                <w:tab w:val="decimal" w:pos="1062" w:leader="none"/>
              </w:tabs>
              <w:rPr/>
            </w:pPr>
            <w:r>
              <w:rPr/>
              <w:t>11%</w:t>
            </w:r>
          </w:p>
        </w:tc>
        <w:tc>
          <w:tcPr>
            <w:tcW w:w="1350" w:type="dxa"/>
            <w:gridSpan w:val="2"/>
            <w:tcBorders>
              <w:top w:val="single" w:sz="6" w:space="0" w:color="000000"/>
              <w:start w:val="single" w:sz="6" w:space="0" w:color="000000"/>
              <w:end w:val="single" w:sz="24" w:space="0" w:color="000000"/>
            </w:tcBorders>
          </w:tcPr>
          <w:p>
            <w:pPr>
              <w:pStyle w:val="Normal"/>
              <w:tabs>
                <w:tab w:val="clear" w:pos="720"/>
                <w:tab w:val="decimal" w:pos="342" w:leader="none"/>
              </w:tabs>
              <w:rPr/>
            </w:pPr>
            <w:r>
              <w:rPr/>
              <w:t>11%</w:t>
            </w:r>
          </w:p>
        </w:tc>
      </w:tr>
      <w:tr>
        <w:trPr/>
        <w:tc>
          <w:tcPr>
            <w:tcW w:w="2700" w:type="dxa"/>
            <w:vMerge w:val="continue"/>
            <w:tcBorders>
              <w:top w:val="single" w:sz="6" w:space="0" w:color="000000"/>
              <w:start w:val="single" w:sz="24" w:space="0" w:color="000000"/>
              <w:end w:val="single" w:sz="6" w:space="0" w:color="000000"/>
            </w:tcBorders>
            <w:shd w:fill="000000" w:val="clear"/>
          </w:tcPr>
          <w:p>
            <w:pPr>
              <w:pStyle w:val="Normal"/>
              <w:snapToGrid w:val="false"/>
              <w:rPr/>
            </w:pPr>
            <w:r>
              <w:rPr/>
            </w:r>
          </w:p>
        </w:tc>
        <w:tc>
          <w:tcPr>
            <w:tcW w:w="7290" w:type="dxa"/>
            <w:gridSpan w:val="12"/>
            <w:tcBorders>
              <w:start w:val="single" w:sz="6" w:space="0" w:color="000000"/>
              <w:end w:val="single" w:sz="24" w:space="0" w:color="000000"/>
            </w:tcBorders>
          </w:tcPr>
          <w:p>
            <w:pPr>
              <w:pStyle w:val="Normal"/>
              <w:tabs>
                <w:tab w:val="clear" w:pos="720"/>
                <w:tab w:val="decimal" w:pos="342" w:leader="none"/>
              </w:tabs>
              <w:rPr>
                <w:sz w:val="18"/>
              </w:rPr>
            </w:pPr>
            <w:r>
              <w:rPr>
                <w:sz w:val="18"/>
              </w:rPr>
              <w:t xml:space="preserve"> </w:t>
            </w:r>
            <w:r>
              <w:rPr>
                <w:sz w:val="18"/>
              </w:rPr>
              <w:t>Other Renewable Resources includes fuel cells utilizing renewable fuel sources, landfill gas, and ocean thermal.</w:t>
            </w:r>
          </w:p>
        </w:tc>
      </w:tr>
      <w:tr>
        <w:trPr>
          <w:trHeight w:val="327"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mc:AlternateContent>
                <mc:Choice Requires="wps">
                  <w:drawing>
                    <wp:anchor behindDoc="0" distT="0" distB="0" distL="114935" distR="114935" simplePos="0" locked="0" layoutInCell="0" allowOverlap="1" relativeHeight="3">
                      <wp:simplePos x="0" y="0"/>
                      <wp:positionH relativeFrom="margin">
                        <wp:posOffset>4284345</wp:posOffset>
                      </wp:positionH>
                      <wp:positionV relativeFrom="paragraph">
                        <wp:posOffset>219710</wp:posOffset>
                      </wp:positionV>
                      <wp:extent cx="0" cy="91440"/>
                      <wp:effectExtent l="19050" t="0" r="19050" b="0"/>
                      <wp:wrapNone/>
                      <wp:docPr id="1" name=""/>
                      <a:graphic xmlns:a="http://schemas.openxmlformats.org/drawingml/2006/main">
                        <a:graphicData uri="http://schemas.microsoft.com/office/word/2010/wordprocessingShape">
                          <wps:wsp>
                            <wps:cNvSpPr/>
                            <wps:spPr>
                              <a:xfrm>
                                <a:off x="0" y="0"/>
                                <a:ext cx="0" cy="9144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337.35pt,17.3pt" to="337.35pt,24.45pt" stroked="t" o:allowincell="f" style="position:absolute;mso-position-horizontal-relative:margin">
                      <v:stroke color="black" weight="38160" joinstyle="miter" endcap="flat"/>
                      <v:fill o:detectmouseclick="t" on="false"/>
                      <w10:wrap type="none"/>
                    </v:line>
                  </w:pict>
                </mc:Fallback>
              </mc:AlternateContent>
            </w:r>
            <w:r>
              <w:rPr>
                <w:sz w:val="32"/>
              </w:rPr>
              <w:t>Air Emissions</w:t>
            </w:r>
          </w:p>
        </w:tc>
        <w:tc>
          <w:tcPr>
            <w:tcW w:w="7290" w:type="dxa"/>
            <w:gridSpan w:val="12"/>
            <w:tcBorders>
              <w:top w:val="single" w:sz="24" w:space="0" w:color="000000"/>
              <w:start w:val="single" w:sz="6" w:space="0" w:color="000000"/>
              <w:end w:val="single" w:sz="24" w:space="0" w:color="000000"/>
            </w:tcBorders>
            <w:vAlign w:val="center"/>
          </w:tcPr>
          <w:p>
            <w:pPr>
              <w:pStyle w:val="Normal"/>
              <w:tabs>
                <w:tab w:val="clear" w:pos="720"/>
                <w:tab w:val="decimal" w:pos="342" w:leader="none"/>
              </w:tabs>
              <w:rPr/>
            </w:pPr>
            <w:r>
              <w:rPr/>
              <w:tab/>
              <w:tab/>
            </w:r>
            <w:r>
              <w:rPr>
                <w:b/>
              </w:rPr>
              <w:tab/>
              <w:tab/>
            </w:r>
            <w:r>
              <w:rPr>
                <w:b/>
                <w:u w:val="single"/>
              </w:rPr>
              <w:t>Regional Average</w:t>
            </w:r>
          </w:p>
        </w:tc>
      </w:tr>
      <w:tr>
        <w:trPr>
          <w:trHeight w:val="260" w:hRule="atLeast"/>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Carbon dioxide (CO</w:t>
            </w:r>
            <w:r>
              <w:rPr>
                <w:vertAlign w:val="subscript"/>
              </w:rPr>
              <w:t>2</w:t>
            </w:r>
            <w:r>
              <w:rPr/>
              <w:t>),</w:t>
            </w:r>
          </w:p>
        </w:tc>
        <w:tc>
          <w:tcPr>
            <w:tcW w:w="630" w:type="dxa"/>
            <w:gridSpan w:val="2"/>
            <w:tcBorders>
              <w:start w:val="single" w:sz="6" w:space="0" w:color="000000"/>
              <w:end w:val="single" w:sz="6" w:space="0" w:color="000000"/>
            </w:tcBorders>
          </w:tcPr>
          <w:p>
            <w:pPr>
              <w:pStyle w:val="Normal"/>
              <w:snapToGrid w:val="false"/>
              <w:rPr/>
            </w:pPr>
            <w:r>
              <w:rPr/>
            </w:r>
          </w:p>
        </w:tc>
        <w:tc>
          <w:tcPr>
            <w:tcW w:w="3870" w:type="dxa"/>
            <w:gridSpan w:val="5"/>
            <w:tcBorders>
              <w:top w:val="single" w:sz="4" w:space="0" w:color="000000"/>
              <w:start w:val="single" w:sz="6" w:space="0" w:color="000000"/>
              <w:bottom w:val="single" w:sz="6" w:space="0" w:color="000000"/>
              <w:end w:val="single" w:sz="24" w:space="0" w:color="000000"/>
            </w:tcBorders>
          </w:tcPr>
          <w:p>
            <w:pPr>
              <w:pStyle w:val="Normal"/>
              <w:rPr/>
            </w:pPr>
            <w:r>
              <w:rPr/>
              <w:tab/>
              <w:tab/>
              <w:tab/>
            </w:r>
          </w:p>
        </w:tc>
        <w:tc>
          <w:tcPr>
            <w:tcW w:w="360" w:type="dxa"/>
            <w:gridSpan w:val="2"/>
            <w:tcBorders>
              <w:top w:val="single" w:sz="4" w:space="0" w:color="000000"/>
              <w:start w:val="single" w:sz="6" w:space="0" w:color="000000"/>
              <w:bottom w:val="single" w:sz="6" w:space="0" w:color="000000"/>
            </w:tcBorders>
          </w:tcPr>
          <w:p>
            <w:pPr>
              <w:pStyle w:val="Normal"/>
              <w:snapToGrid w:val="false"/>
              <w:rPr/>
            </w:pPr>
            <w:r>
              <w:rPr/>
            </w:r>
          </w:p>
        </w:tc>
        <w:tc>
          <w:tcPr>
            <w:tcW w:w="2070" w:type="dxa"/>
            <w:gridSpan w:val="2"/>
            <w:tcBorders>
              <w:top w:val="single" w:sz="4" w:space="0" w:color="000000"/>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nitrogen oxide (NO</w:t>
            </w:r>
            <w:r>
              <w:rPr>
                <w:vertAlign w:val="subscript"/>
              </w:rPr>
              <w:t>x</w:t>
            </w:r>
            <w:r>
              <w:rPr/>
              <w:t>), and</w:t>
            </w:r>
          </w:p>
        </w:tc>
        <w:tc>
          <w:tcPr>
            <w:tcW w:w="630" w:type="dxa"/>
            <w:gridSpan w:val="2"/>
            <w:tcBorders>
              <w:start w:val="single" w:sz="6" w:space="0" w:color="000000"/>
              <w:end w:val="single" w:sz="6" w:space="0" w:color="000000"/>
            </w:tcBorders>
          </w:tcPr>
          <w:p>
            <w:pPr>
              <w:pStyle w:val="Normal"/>
              <w:rPr/>
            </w:pPr>
            <w:r>
              <w:rPr/>
              <w:t>CO</w:t>
            </w:r>
            <w:r>
              <w:rPr>
                <w:vertAlign w:val="subscript"/>
              </w:rPr>
              <w:t>2</w:t>
            </w:r>
          </w:p>
        </w:tc>
        <w:tc>
          <w:tcPr>
            <w:tcW w:w="3870" w:type="dxa"/>
            <w:gridSpan w:val="5"/>
            <w:tcBorders>
              <w:top w:val="single" w:sz="6" w:space="0" w:color="000000"/>
              <w:start w:val="single" w:sz="6" w:space="0" w:color="000000"/>
              <w:bottom w:val="single" w:sz="6"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top w:val="single" w:sz="6" w:space="0" w:color="000000"/>
              <w:start w:val="single" w:sz="6" w:space="0" w:color="000000"/>
            </w:tcBorders>
            <w:shd w:fill="000000" w:val="clear"/>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78" w:hRule="atLeast"/>
        </w:trPr>
        <w:tc>
          <w:tcPr>
            <w:tcW w:w="2700" w:type="dxa"/>
            <w:tcBorders>
              <w:top w:val="single" w:sz="6" w:space="0" w:color="000000"/>
              <w:start w:val="single" w:sz="24" w:space="0" w:color="000000"/>
              <w:end w:val="single" w:sz="6" w:space="0" w:color="000000"/>
            </w:tcBorders>
            <w:shd w:fill="000000" w:val="clear"/>
          </w:tcPr>
          <w:p>
            <w:pPr>
              <w:pStyle w:val="Normal"/>
              <w:rPr/>
            </w:pPr>
            <w:r>
              <w:rPr/>
              <w:t>sulfur dioxide (SO</w:t>
            </w:r>
            <w:r>
              <w:rPr>
                <w:vertAlign w:val="subscript"/>
              </w:rPr>
              <w:t>2</w:t>
            </w:r>
            <w:r>
              <w:rPr/>
              <w:t>) emission</w:t>
            </w:r>
          </w:p>
        </w:tc>
        <w:tc>
          <w:tcPr>
            <w:tcW w:w="630" w:type="dxa"/>
            <w:gridSpan w:val="2"/>
            <w:tcBorders>
              <w:start w:val="single" w:sz="6" w:space="0" w:color="000000"/>
              <w:end w:val="single" w:sz="6" w:space="0" w:color="000000"/>
            </w:tcBorders>
          </w:tcPr>
          <w:p>
            <w:pPr>
              <w:pStyle w:val="Normal"/>
              <w:snapToGrid w:val="false"/>
              <w:rPr/>
            </w:pPr>
            <w:r>
              <w:rPr/>
            </w:r>
          </w:p>
        </w:tc>
        <w:tc>
          <w:tcPr>
            <w:tcW w:w="3870" w:type="dxa"/>
            <w:gridSpan w:val="5"/>
            <w:tcBorders>
              <w:top w:val="single" w:sz="6" w:space="0" w:color="000000"/>
              <w:start w:val="single" w:sz="6" w:space="0" w:color="000000"/>
              <w:end w:val="single" w:sz="24" w:space="0" w:color="000000"/>
            </w:tcBorders>
          </w:tcPr>
          <w:p>
            <w:pPr>
              <w:pStyle w:val="Normal"/>
              <w:rPr/>
            </w:pPr>
            <w:r>
              <w:rPr/>
              <w:tab/>
              <w:tab/>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start w:val="single" w:sz="24" w:space="0" w:color="000000"/>
              <w:end w:val="single" w:sz="6" w:space="0" w:color="000000"/>
            </w:tcBorders>
            <w:shd w:fill="000000" w:val="clear"/>
          </w:tcPr>
          <w:p>
            <w:pPr>
              <w:pStyle w:val="Normal"/>
              <w:rPr/>
            </w:pPr>
            <w:r>
              <mc:AlternateContent>
                <mc:Choice Requires="wps">
                  <w:drawing>
                    <wp:anchor behindDoc="0" distT="0" distB="0" distL="114935" distR="114935" simplePos="0" locked="0" layoutInCell="0" allowOverlap="1" relativeHeight="5">
                      <wp:simplePos x="0" y="0"/>
                      <wp:positionH relativeFrom="margin">
                        <wp:posOffset>1828800</wp:posOffset>
                      </wp:positionH>
                      <wp:positionV relativeFrom="paragraph">
                        <wp:posOffset>12700</wp:posOffset>
                      </wp:positionV>
                      <wp:extent cx="1581785" cy="139065"/>
                      <wp:effectExtent l="5715" t="5715" r="4445" b="4445"/>
                      <wp:wrapNone/>
                      <wp:docPr id="2" name=""/>
                      <a:graphic xmlns:a="http://schemas.openxmlformats.org/drawingml/2006/main">
                        <a:graphicData uri="http://schemas.microsoft.com/office/word/2010/wordprocessingShape">
                          <wps:wsp>
                            <wps:cNvSpPr/>
                            <wps:spPr>
                              <a:xfrm>
                                <a:off x="0" y="0"/>
                                <a:ext cx="1581840" cy="138960"/>
                              </a:xfrm>
                              <a:prstGeom prst="rect">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44pt;margin-top:1pt;width:124.5pt;height:10.9pt;mso-wrap-style:none;v-text-anchor:middle;mso-position-horizontal-relative:margin">
                      <v:fill o:detectmouseclick="t" type="solid" color2="white"/>
                      <v:stroke color="black" weight="9360" joinstyle="miter" endcap="flat"/>
                      <w10:wrap type="none"/>
                    </v:rect>
                  </w:pict>
                </mc:Fallback>
              </mc:AlternateContent>
            </w:r>
            <w:r>
              <w:rPr/>
              <w:t>rates from these sources, rela-</w:t>
            </w:r>
          </w:p>
        </w:tc>
        <w:tc>
          <w:tcPr>
            <w:tcW w:w="630" w:type="dxa"/>
            <w:gridSpan w:val="2"/>
            <w:tcBorders>
              <w:start w:val="single" w:sz="6" w:space="0" w:color="000000"/>
              <w:end w:val="single" w:sz="6" w:space="0" w:color="000000"/>
            </w:tcBorders>
          </w:tcPr>
          <w:p>
            <w:pPr>
              <w:pStyle w:val="Normal"/>
              <w:rPr/>
            </w:pPr>
            <w:r>
              <w:rPr/>
              <w:t>NO</w:t>
            </w:r>
            <w:r>
              <w:rPr>
                <w:vertAlign w:val="subscript"/>
              </w:rPr>
              <w:t>x</w:t>
            </w:r>
          </w:p>
        </w:tc>
        <w:tc>
          <w:tcPr>
            <w:tcW w:w="3870" w:type="dxa"/>
            <w:gridSpan w:val="5"/>
            <w:tcBorders>
              <w:start w:val="single" w:sz="6" w:space="0" w:color="000000"/>
              <w:end w:val="single" w:sz="24" w:space="0" w:color="000000"/>
            </w:tcBorders>
          </w:tcPr>
          <w:p>
            <w:pPr>
              <w:pStyle w:val="Normal"/>
              <w:snapToGrid w:val="false"/>
              <w:rPr>
                <w:vertAlign w:val="subscript"/>
              </w:rPr>
            </w:pPr>
            <w:r>
              <w:rPr>
                <w:vertAlign w:val="subscript"/>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tcBorders>
              <w:start w:val="single" w:sz="24" w:space="0" w:color="000000"/>
              <w:end w:val="single" w:sz="6" w:space="0" w:color="000000"/>
            </w:tcBorders>
            <w:shd w:fill="000000" w:val="clear"/>
          </w:tcPr>
          <w:p>
            <w:pPr>
              <w:pStyle w:val="Normal"/>
              <w:rPr/>
            </w:pPr>
            <w:r>
              <w:rPr/>
              <w:t>tive to the regional average.</w:t>
            </w:r>
          </w:p>
        </w:tc>
        <w:tc>
          <w:tcPr>
            <w:tcW w:w="630" w:type="dxa"/>
            <w:gridSpan w:val="2"/>
            <w:tcBorders>
              <w:start w:val="single" w:sz="6" w:space="0" w:color="000000"/>
              <w:end w:val="single" w:sz="6" w:space="0" w:color="000000"/>
            </w:tcBorders>
          </w:tcPr>
          <w:p>
            <w:pPr>
              <w:pStyle w:val="Normal"/>
              <w:snapToGrid w:val="false"/>
              <w:rPr/>
            </w:pPr>
            <w:r>
              <w:rPr/>
            </w:r>
          </w:p>
        </w:tc>
        <w:tc>
          <w:tcPr>
            <w:tcW w:w="3870" w:type="dxa"/>
            <w:gridSpan w:val="5"/>
            <w:tcBorders>
              <w:start w:val="single" w:sz="6" w:space="0" w:color="000000"/>
              <w:end w:val="single" w:sz="24" w:space="0" w:color="000000"/>
            </w:tcBorders>
          </w:tcPr>
          <w:p>
            <w:pPr>
              <w:pStyle w:val="Normal"/>
              <w:snapToGrid w:val="false"/>
              <w:rPr/>
            </w:pPr>
            <w:r>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start w:val="single" w:sz="24" w:space="0" w:color="000000"/>
              <w:bottom w:val="single" w:sz="6" w:space="0" w:color="000000"/>
              <w:end w:val="single" w:sz="6" w:space="0" w:color="000000"/>
            </w:tcBorders>
            <w:shd w:fill="000000" w:val="clear"/>
          </w:tcPr>
          <w:p>
            <w:pPr>
              <w:pStyle w:val="Normal"/>
              <w:snapToGrid w:val="false"/>
              <w:rPr>
                <w:lang w:val="en-CA"/>
              </w:rPr>
            </w:pPr>
            <w:r>
              <w:rPr>
                <w:lang w:val="en-CA"/>
              </w:rPr>
              <mc:AlternateContent>
                <mc:Choice Requires="wps">
                  <w:drawing>
                    <wp:anchor behindDoc="0" distT="0" distB="0" distL="114935" distR="114935" simplePos="0" locked="0" layoutInCell="0" allowOverlap="1" relativeHeight="4">
                      <wp:simplePos x="0" y="0"/>
                      <wp:positionH relativeFrom="margin">
                        <wp:posOffset>1828800</wp:posOffset>
                      </wp:positionH>
                      <wp:positionV relativeFrom="paragraph">
                        <wp:posOffset>7620</wp:posOffset>
                      </wp:positionV>
                      <wp:extent cx="1965960" cy="134620"/>
                      <wp:effectExtent l="5080" t="5080" r="5080" b="5080"/>
                      <wp:wrapNone/>
                      <wp:docPr id="3" name=""/>
                      <a:graphic xmlns:a="http://schemas.openxmlformats.org/drawingml/2006/main">
                        <a:graphicData uri="http://schemas.microsoft.com/office/word/2010/wordprocessingShape">
                          <wps:wsp>
                            <wps:cNvSpPr/>
                            <wps:spPr>
                              <a:xfrm>
                                <a:off x="0" y="0"/>
                                <a:ext cx="1965960" cy="134640"/>
                              </a:xfrm>
                              <a:prstGeom prst="rect">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44pt;margin-top:0.6pt;width:154.75pt;height:10.55pt;mso-wrap-style:none;v-text-anchor:middle;mso-position-horizontal-relative:margin">
                      <v:fill o:detectmouseclick="t" type="solid" color2="white"/>
                      <v:stroke color="black" weight="9360" joinstyle="miter" endcap="flat"/>
                      <w10:wrap type="none"/>
                    </v:rect>
                  </w:pict>
                </mc:Fallback>
              </mc:AlternateContent>
            </w:r>
          </w:p>
        </w:tc>
        <w:tc>
          <w:tcPr>
            <w:tcW w:w="630" w:type="dxa"/>
            <w:gridSpan w:val="2"/>
            <w:tcBorders>
              <w:start w:val="single" w:sz="6" w:space="0" w:color="000000"/>
              <w:end w:val="single" w:sz="6" w:space="0" w:color="000000"/>
            </w:tcBorders>
          </w:tcPr>
          <w:p>
            <w:pPr>
              <w:pStyle w:val="Normal"/>
              <w:rPr/>
            </w:pPr>
            <w:r>
              <w:rPr/>
              <w:t>SO</w:t>
            </w:r>
            <w:r>
              <w:rPr>
                <w:vertAlign w:val="subscript"/>
              </w:rPr>
              <w:t>2</w:t>
            </w:r>
          </w:p>
        </w:tc>
        <w:tc>
          <w:tcPr>
            <w:tcW w:w="3870" w:type="dxa"/>
            <w:gridSpan w:val="5"/>
            <w:tcBorders>
              <w:start w:val="single" w:sz="6" w:space="0" w:color="000000"/>
              <w:bottom w:val="single" w:sz="4" w:space="0" w:color="000000"/>
              <w:end w:val="single" w:sz="24" w:space="0" w:color="000000"/>
            </w:tcBorders>
          </w:tcPr>
          <w:p>
            <w:pPr>
              <w:pStyle w:val="Normal"/>
              <w:snapToGrid w:val="false"/>
              <w:rPr>
                <w:vertAlign w:val="subscript"/>
              </w:rPr>
            </w:pPr>
            <w:r>
              <w:rPr>
                <w:vertAlign w:val="subscript"/>
              </w:rPr>
            </w:r>
          </w:p>
        </w:tc>
        <w:tc>
          <w:tcPr>
            <w:tcW w:w="360" w:type="dxa"/>
            <w:gridSpan w:val="2"/>
            <w:tcBorders>
              <w:start w:val="single" w:sz="6" w:space="0" w:color="000000"/>
              <w:bottom w:val="single" w:sz="4" w:space="0" w:color="000000"/>
            </w:tcBorders>
          </w:tcPr>
          <w:p>
            <w:pPr>
              <w:pStyle w:val="Normal"/>
              <w:snapToGrid w:val="false"/>
              <w:rPr/>
            </w:pPr>
            <w:r>
              <w:rPr/>
            </w:r>
          </w:p>
        </w:tc>
        <w:tc>
          <w:tcPr>
            <w:tcW w:w="2070" w:type="dxa"/>
            <w:gridSpan w:val="2"/>
            <w:tcBorders>
              <w:bottom w:val="single" w:sz="4" w:space="0" w:color="000000"/>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350" w:hRule="atLeast"/>
        </w:trPr>
        <w:tc>
          <w:tcPr>
            <w:tcW w:w="2700" w:type="dxa"/>
            <w:tcBorders>
              <w:top w:val="single" w:sz="6" w:space="0" w:color="000000"/>
              <w:start w:val="single" w:sz="24" w:space="0" w:color="000000"/>
              <w:bottom w:val="single" w:sz="24" w:space="0" w:color="FFFFFF"/>
              <w:end w:val="single" w:sz="6" w:space="0" w:color="000000"/>
            </w:tcBorders>
            <w:shd w:fill="000000" w:val="clear"/>
          </w:tcPr>
          <w:p>
            <w:pPr>
              <w:pStyle w:val="Normal"/>
              <w:snapToGrid w:val="false"/>
              <w:rPr/>
            </w:pPr>
            <w:r>
              <w:rPr/>
            </w:r>
          </w:p>
        </w:tc>
        <w:tc>
          <w:tcPr>
            <w:tcW w:w="7290" w:type="dxa"/>
            <w:gridSpan w:val="12"/>
            <w:tcBorders>
              <w:start w:val="single" w:sz="6" w:space="0" w:color="000000"/>
              <w:bottom w:val="single" w:sz="24" w:space="0" w:color="000000"/>
              <w:end w:val="single" w:sz="24" w:space="0" w:color="000000"/>
            </w:tcBorders>
            <w:vAlign w:val="center"/>
          </w:tcPr>
          <w:p>
            <w:pPr>
              <w:pStyle w:val="Normal"/>
              <w:tabs>
                <w:tab w:val="clear" w:pos="720"/>
                <w:tab w:val="decimal" w:pos="342" w:leader="none"/>
              </w:tabs>
              <w:rPr>
                <w:b/>
              </w:rPr>
            </w:pPr>
            <w:r>
              <w:rPr>
                <w:b/>
              </w:rPr>
              <w:tab/>
              <w:t>Lower Emissions</w:t>
              <w:tab/>
              <w:tab/>
              <w:tab/>
              <w:tab/>
              <w:t>Higher Emissions</w:t>
            </w:r>
          </w:p>
        </w:tc>
      </w:tr>
      <w:tr>
        <w:trPr/>
        <w:tc>
          <w:tcPr>
            <w:tcW w:w="9990" w:type="dxa"/>
            <w:gridSpan w:val="13"/>
            <w:tcBorders>
              <w:top w:val="single" w:sz="6" w:space="0" w:color="000000"/>
              <w:start w:val="single" w:sz="24" w:space="0" w:color="000000"/>
              <w:bottom w:val="single" w:sz="24" w:space="0" w:color="000000"/>
              <w:end w:val="single" w:sz="24" w:space="0" w:color="000000"/>
            </w:tcBorders>
          </w:tcPr>
          <w:p>
            <w:pPr>
              <w:pStyle w:val="Heading4"/>
              <w:tabs>
                <w:tab w:val="clear" w:pos="720"/>
                <w:tab w:val="decimal" w:pos="342" w:leader="none"/>
              </w:tabs>
              <w:ind w:hanging="0" w:start="0"/>
              <w:rPr/>
            </w:pPr>
            <w:r>
              <w:rPr/>
              <w:t>NOTES</w:t>
            </w:r>
          </w:p>
          <w:p>
            <w:pPr>
              <w:pStyle w:val="Normal"/>
              <w:numPr>
                <w:ilvl w:val="0"/>
                <w:numId w:val="2"/>
              </w:numPr>
              <w:tabs>
                <w:tab w:val="clear" w:pos="720"/>
                <w:tab w:val="decimal" w:pos="342" w:leader="none"/>
              </w:tabs>
              <w:jc w:val="both"/>
              <w:rPr/>
            </w:pPr>
            <w:r>
              <w:rPr/>
              <w:t xml:space="preserve">The power source and air emissions information is based on a 12-month period ending December 31, 2000.  Electricity customers in New England are served by an integrated power grid, not particular generating units.  System Power provided is based on the </w:t>
            </w:r>
            <w:r>
              <w:rPr>
                <w:b/>
              </w:rPr>
              <w:t>New England Sources of Energy</w:t>
            </w:r>
            <w:r>
              <w:rPr/>
              <w:t xml:space="preserve"> made available by ISO New England at </w:t>
            </w:r>
            <w:hyperlink r:id="rId2">
              <w:r>
                <w:rPr>
                  <w:rStyle w:val="Hyperlink"/>
                </w:rPr>
                <w:t>www.iso-ne.com</w:t>
              </w:r>
            </w:hyperlink>
            <w:r>
              <w:rPr/>
              <w:t>.</w:t>
            </w:r>
          </w:p>
          <w:p>
            <w:pPr>
              <w:pStyle w:val="Normal"/>
              <w:numPr>
                <w:ilvl w:val="0"/>
                <w:numId w:val="2"/>
              </w:numPr>
              <w:tabs>
                <w:tab w:val="clear" w:pos="720"/>
                <w:tab w:val="decimal" w:pos="342" w:leader="none"/>
              </w:tabs>
              <w:ind w:hanging="342" w:start="342" w:end="0"/>
              <w:jc w:val="both"/>
              <w:rPr/>
            </w:pPr>
            <w:r>
              <w:rPr/>
              <w:t>See reverse side and your contract terms and conditions for further information on this label.  You may also call Enron Energy Services, Inc. at 877 358-3006 or the Maine Public Utilities Commission at 1 800 452-4699.</w:t>
            </w:r>
          </w:p>
        </w:tc>
      </w:tr>
    </w:tbl>
    <w:p>
      <w:pPr>
        <w:pStyle w:val="Normal"/>
        <w:rPr/>
      </w:pPr>
      <w:r>
        <w:rPr/>
      </w:r>
    </w:p>
    <w:p>
      <w:pPr>
        <w:pStyle w:val="Normal"/>
        <w:rPr/>
      </w:pPr>
      <w:r>
        <w:rPr/>
      </w:r>
    </w:p>
    <w:p>
      <w:pPr>
        <w:pStyle w:val="Normal"/>
        <w:rPr>
          <w:b/>
        </w:rPr>
      </w:pPr>
      <w:r>
        <w:rPr>
          <w:b/>
        </w:rPr>
        <w:drawing>
          <wp:inline distT="0" distB="0" distL="0" distR="0">
            <wp:extent cx="776605" cy="73279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3"/>
                    <a:srcRect l="-39" t="-39" r="-39" b="-39"/>
                    <a:stretch>
                      <a:fillRect/>
                    </a:stretch>
                  </pic:blipFill>
                  <pic:spPr bwMode="auto">
                    <a:xfrm>
                      <a:off x="0" y="0"/>
                      <a:ext cx="776605" cy="73279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rPr>
          <w:sz w:val="24"/>
        </w:rPr>
      </w:pPr>
      <w:r>
        <w:rPr>
          <w:sz w:val="24"/>
        </w:rPr>
        <w:t>LABEL DESCRIPTION</w:t>
      </w:r>
    </w:p>
    <w:p>
      <w:pPr>
        <w:pStyle w:val="Normal"/>
        <w:jc w:val="center"/>
        <w:rPr>
          <w:sz w:val="24"/>
        </w:rPr>
      </w:pPr>
      <w:r>
        <w:rPr>
          <w:sz w:val="24"/>
        </w:rPr>
      </w:r>
    </w:p>
    <w:p>
      <w:pPr>
        <w:pStyle w:val="Normal"/>
        <w:jc w:val="center"/>
        <w:rPr>
          <w:sz w:val="24"/>
        </w:rPr>
      </w:pPr>
      <w:r>
        <w:rPr>
          <w:sz w:val="24"/>
        </w:rPr>
      </w:r>
    </w:p>
    <w:p>
      <w:pPr>
        <w:pStyle w:val="Normal"/>
        <w:jc w:val="both"/>
        <w:rPr/>
      </w:pPr>
      <w:r>
        <w:rPr>
          <w:b/>
          <w:sz w:val="24"/>
          <w:u w:val="single"/>
        </w:rPr>
        <w:t>Generation Price and Contract</w:t>
      </w:r>
      <w:r>
        <w:rPr>
          <w:sz w:val="24"/>
        </w:rPr>
        <w:t>:</w:t>
      </w:r>
    </w:p>
    <w:p>
      <w:pPr>
        <w:pStyle w:val="Normal"/>
        <w:ind w:hanging="720" w:start="720" w:end="0"/>
        <w:jc w:val="both"/>
        <w:rPr>
          <w:sz w:val="24"/>
        </w:rPr>
      </w:pPr>
      <w:r>
        <w:rPr>
          <w:sz w:val="24"/>
        </w:rPr>
        <w:tab/>
        <w:t>Generation Prices displayed are representative average prices for electricity at usage levels that are typical for commercial customers.  Contract items displayed present the length of your contract for generation service, and the price terms included in your contract.  See your recent bill to determine average monthly use, and your Terms of Service for additional information.</w:t>
      </w:r>
    </w:p>
    <w:p>
      <w:pPr>
        <w:pStyle w:val="Normal"/>
        <w:ind w:hanging="720" w:start="720" w:end="0"/>
        <w:jc w:val="both"/>
        <w:rPr>
          <w:sz w:val="24"/>
        </w:rPr>
      </w:pPr>
      <w:r>
        <w:rPr>
          <w:sz w:val="24"/>
        </w:rPr>
      </w:r>
    </w:p>
    <w:p>
      <w:pPr>
        <w:pStyle w:val="Normal"/>
        <w:ind w:hanging="720" w:start="720" w:end="0"/>
        <w:jc w:val="both"/>
        <w:rPr/>
      </w:pPr>
      <w:r>
        <w:rPr>
          <w:b/>
          <w:sz w:val="24"/>
          <w:u w:val="single"/>
        </w:rPr>
        <w:t>Power Sources</w:t>
      </w:r>
      <w:r>
        <w:rPr>
          <w:sz w:val="24"/>
        </w:rPr>
        <w:t>:</w:t>
      </w:r>
    </w:p>
    <w:p>
      <w:pPr>
        <w:pStyle w:val="Normal"/>
        <w:ind w:hanging="720" w:start="720" w:end="0"/>
        <w:jc w:val="both"/>
        <w:rPr/>
      </w:pPr>
      <w:r>
        <w:rPr>
          <w:b/>
          <w:sz w:val="24"/>
        </w:rPr>
        <w:tab/>
      </w:r>
      <w:r>
        <w:rPr>
          <w:sz w:val="24"/>
        </w:rPr>
        <w:t>The actual electricity you use will be indistinguishable from the electricity used by your friends and neighbors. This is unavoidable because everyone is served through the same transmission and distribution system. The power sources label cannot tell you about the electricity that you use in your home; instead, it tells you that your dollars are going to pay for particular power plants. Since it is impossible to track the flow of electricity on the grid, however, there is no way to identify the actual power plant that produced the electricity you consume in your home. But it is possible to track the dollars you pay for electricity. Your electricity dollars will support electricity generation from various energy resources in the proportions listed on the power content label.</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A similar label containing your electricity supplier’s entire regional resource portfolio and emissions characteristics is available upon request. </w:t>
      </w:r>
    </w:p>
    <w:p>
      <w:pPr>
        <w:pStyle w:val="Normal"/>
        <w:ind w:hanging="720" w:start="720" w:end="0"/>
        <w:jc w:val="both"/>
        <w:rPr>
          <w:sz w:val="24"/>
        </w:rPr>
      </w:pPr>
      <w:r>
        <w:rPr>
          <w:sz w:val="24"/>
        </w:rPr>
      </w:r>
    </w:p>
    <w:p>
      <w:pPr>
        <w:pStyle w:val="Normal"/>
        <w:ind w:hanging="720" w:start="720" w:end="0"/>
        <w:jc w:val="both"/>
        <w:rPr/>
      </w:pPr>
      <w:r>
        <w:rPr>
          <w:b/>
          <w:sz w:val="24"/>
          <w:u w:val="single"/>
        </w:rPr>
        <w:t>Emissions</w:t>
      </w:r>
      <w:r>
        <w:rPr>
          <w:sz w:val="24"/>
        </w:rPr>
        <w:t>:</w:t>
      </w:r>
    </w:p>
    <w:p>
      <w:pPr>
        <w:pStyle w:val="BodyText2"/>
        <w:rPr/>
      </w:pPr>
      <w:r>
        <w:rPr/>
        <w:tab/>
        <w:t xml:space="preserve">Emissions for each of the following pollutants are presented as a percent of the regional average emission rate.  </w:t>
      </w:r>
    </w:p>
    <w:p>
      <w:pPr>
        <w:pStyle w:val="Normal"/>
        <w:ind w:hanging="720" w:start="720" w:end="0"/>
        <w:jc w:val="both"/>
        <w:rPr/>
      </w:pPr>
      <w:r>
        <w:rPr>
          <w:sz w:val="24"/>
        </w:rPr>
        <w:tab/>
      </w:r>
      <w:r>
        <w:rPr>
          <w:sz w:val="24"/>
          <w:u w:val="single"/>
        </w:rPr>
        <w:t>Carbon Dioxide</w:t>
      </w:r>
      <w:r>
        <w:rPr>
          <w:sz w:val="24"/>
        </w:rPr>
        <w:t xml:space="preserve"> (CO</w:t>
      </w:r>
      <w:r>
        <w:rPr>
          <w:sz w:val="24"/>
          <w:vertAlign w:val="subscript"/>
        </w:rPr>
        <w:t>2</w:t>
      </w:r>
      <w:r>
        <w:rPr>
          <w:sz w:val="24"/>
        </w:rPr>
        <w:t>) is released when certain fuels are burned. It is considered a greenhouse gas and a major contributor to global warming.</w:t>
      </w:r>
    </w:p>
    <w:p>
      <w:pPr>
        <w:pStyle w:val="Normal"/>
        <w:ind w:hanging="720" w:start="720" w:end="0"/>
        <w:jc w:val="both"/>
        <w:rPr/>
      </w:pPr>
      <w:r>
        <w:rPr>
          <w:sz w:val="24"/>
        </w:rPr>
        <w:tab/>
      </w:r>
      <w:r>
        <w:rPr>
          <w:sz w:val="24"/>
          <w:u w:val="single"/>
        </w:rPr>
        <w:t>Nitrogen Oxides</w:t>
      </w:r>
      <w:r>
        <w:rPr>
          <w:sz w:val="24"/>
        </w:rPr>
        <w:t xml:space="preserve"> (NO</w:t>
      </w:r>
      <w:r>
        <w:rPr>
          <w:sz w:val="24"/>
          <w:vertAlign w:val="subscript"/>
        </w:rPr>
        <w:t>x</w:t>
      </w:r>
      <w:r>
        <w:rPr>
          <w:sz w:val="24"/>
        </w:rPr>
        <w:t>) form when certain fuels are burned at high temperatures.  They are considered contributors to acid rain and ground-level ozone (or smog).</w:t>
      </w:r>
    </w:p>
    <w:p>
      <w:pPr>
        <w:pStyle w:val="Normal"/>
        <w:ind w:hanging="720" w:start="720" w:end="0"/>
        <w:jc w:val="both"/>
        <w:rPr/>
      </w:pPr>
      <w:r>
        <w:rPr>
          <w:sz w:val="24"/>
        </w:rPr>
        <w:tab/>
      </w:r>
      <w:r>
        <w:rPr>
          <w:sz w:val="24"/>
          <w:u w:val="single"/>
        </w:rPr>
        <w:t>Sulfur Dioxide</w:t>
      </w:r>
      <w:r>
        <w:rPr>
          <w:sz w:val="24"/>
        </w:rPr>
        <w:t xml:space="preserve"> (SO</w:t>
      </w:r>
      <w:r>
        <w:rPr>
          <w:sz w:val="24"/>
          <w:vertAlign w:val="subscript"/>
        </w:rPr>
        <w:t>2</w:t>
      </w:r>
      <w:r>
        <w:rPr>
          <w:sz w:val="24"/>
        </w:rPr>
        <w:t>) is formed when fuels containing sulfur are burned. Major health effects associated with SO</w:t>
      </w:r>
      <w:r>
        <w:rPr>
          <w:sz w:val="24"/>
          <w:vertAlign w:val="subscript"/>
        </w:rPr>
        <w:t>2</w:t>
      </w:r>
      <w:r>
        <w:rPr>
          <w:sz w:val="24"/>
        </w:rPr>
        <w:t xml:space="preserve"> include asthma, respiratory illness and aggravation of existing cardiovascular disease. </w:t>
      </w:r>
    </w:p>
    <w:p>
      <w:pPr>
        <w:pStyle w:val="Normal"/>
        <w:ind w:hanging="720" w:start="720" w:end="0"/>
        <w:jc w:val="both"/>
        <w:rPr>
          <w:sz w:val="24"/>
          <w:u w:val="single"/>
        </w:rPr>
      </w:pPr>
      <w:r>
        <w:rPr>
          <w:sz w:val="24"/>
          <w:u w:val="single"/>
        </w:rPr>
      </w:r>
    </w:p>
    <w:p>
      <w:pPr>
        <w:pStyle w:val="BodyTextIndent"/>
        <w:rPr/>
      </w:pPr>
      <w:r>
        <w:rPr/>
        <w:t>The production of electricity can produce other harmful emissions and have other environmental impacts. Environmental impacts differ among individual power plants.</w:t>
      </w:r>
    </w:p>
    <w:sectPr>
      <w:footerReference w:type="default" r:id="rId4"/>
      <w:footnotePr>
        <w:numFmt w:val="decimal"/>
      </w:footnotePr>
      <w:type w:val="nextPage"/>
      <w:pgSz w:w="12240" w:h="15840"/>
      <w:pgMar w:left="1440" w:right="1440" w:gutter="0" w:header="0" w:top="43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rPr>
      <w:t xml:space="preserve">ME / </w:t>
    </w:r>
    <w:r>
      <w:rPr>
        <w:b/>
        <w:smallCaps/>
      </w:rPr>
      <w:t>ENRON DIRECT USA</w:t>
    </w:r>
    <w:r>
      <w:rPr>
        <w:b/>
        <w:smallCaps/>
        <w:position w:val="6"/>
        <w:sz w:val="16"/>
      </w:rPr>
      <w:t>SM</w:t>
    </w:r>
    <w:r>
      <w:rPr>
        <w:b/>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FFFFFF"/>
      <w:sz w:val="28"/>
    </w:rPr>
  </w:style>
  <w:style w:type="paragraph" w:styleId="Heading2">
    <w:name w:val="heading 2"/>
    <w:basedOn w:val="Normal"/>
    <w:next w:val="Normal"/>
    <w:qFormat/>
    <w:pPr>
      <w:keepNext w:val="true"/>
      <w:numPr>
        <w:ilvl w:val="1"/>
        <w:numId w:val="1"/>
      </w:numPr>
      <w:outlineLvl w:val="1"/>
    </w:pPr>
    <w:rPr>
      <w:color w:val="FFFFFF"/>
      <w:sz w:val="36"/>
    </w:rPr>
  </w:style>
  <w:style w:type="paragraph" w:styleId="Heading3">
    <w:name w:val="heading 3"/>
    <w:basedOn w:val="Normal"/>
    <w:next w:val="Normal"/>
    <w:qFormat/>
    <w:pPr>
      <w:keepNext w:val="true"/>
      <w:numPr>
        <w:ilvl w:val="2"/>
        <w:numId w:val="1"/>
      </w:numPr>
      <w:outlineLvl w:val="2"/>
    </w:pPr>
    <w:rPr>
      <w:sz w:val="36"/>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tabs>
        <w:tab w:val="clear" w:pos="720"/>
        <w:tab w:val="decimal" w:pos="342" w:leader="none"/>
      </w:tabs>
      <w:jc w:val="center"/>
      <w:outlineLvl w:val="4"/>
    </w:pPr>
    <w:rPr>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before="120" w:after="0"/>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720" w:start="720" w:end="0"/>
      <w:jc w:val="both"/>
    </w:pPr>
    <w:rPr>
      <w:sz w:val="24"/>
    </w:rPr>
  </w:style>
  <w:style w:type="paragraph" w:styleId="BodyTextIndent">
    <w:name w:val="Body Text Indent"/>
    <w:basedOn w:val="Normal"/>
    <w:pPr>
      <w:ind w:hanging="0" w:start="72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o-ne.com/" TargetMode="External"/><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2001-08-08T20:19:00Z</dcterms:created>
  <dc:creator>iwaser</dc:creator>
  <dc:description/>
  <cp:keywords>HN 48752.4 02618 00810 8/8/2001  3:41 PM</cp:keywords>
  <dc:language>en-CA</dc:language>
  <cp:lastModifiedBy>LeBoeuf, Lamb, Greene &amp; MacRae, L.L.P.</cp:lastModifiedBy>
  <cp:lastPrinted>2001-04-03T10:28:00Z</cp:lastPrinted>
  <dcterms:modified xsi:type="dcterms:W3CDTF">2001-08-08T20:19:00Z</dcterms:modified>
  <cp:revision>4</cp:revision>
  <dc:subject/>
  <dc:title>Generation</dc:title>
</cp:coreProperties>
</file>