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7488"/>
      </w:tblGrid>
      <w:tr>
        <w:trPr/>
        <w:tc>
          <w:tcPr>
            <w:tcW w:w="2088" w:type="dxa"/>
            <w:tcBorders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drawing>
                <wp:inline distT="0" distB="0" distL="0" distR="0">
                  <wp:extent cx="998855" cy="10052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9" t="-29" r="-29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1005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>ANNUAL REPORT TO MAINE PUBLIC UTILITIES COMMISSION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ENRON ENERGY SERVICES, INC. (EESI)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For the Calendar Year Ending December 31, 2000</w:t>
            </w:r>
          </w:p>
        </w:tc>
      </w:tr>
    </w:tbl>
    <w:p>
      <w:pPr>
        <w:pStyle w:val="Normal"/>
        <w:rPr>
          <w:b/>
          <w:sz w:val="12"/>
        </w:rPr>
      </w:pPr>
      <w:r>
        <w:rPr>
          <w:b/>
          <w:sz w:val="1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1596"/>
        <w:gridCol w:w="798"/>
        <w:gridCol w:w="798"/>
        <w:gridCol w:w="1596"/>
      </w:tblGrid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REVENUE, kWh &amp; AVERAGE PRICES BY CUSTOMER CATEGORY &amp; TRANSMISSION TERRITORY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/>
                <w:i/>
              </w:rPr>
            </w:pPr>
            <w:r>
              <w:rPr>
                <w:i/>
              </w:rPr>
              <w:t>Total Revenue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/>
                <w:i/>
              </w:rPr>
            </w:pPr>
            <w:r>
              <w:rPr>
                <w:i/>
              </w:rPr>
              <w:t>Total kWh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i w:val="false"/>
                <w:i w:val="false"/>
              </w:rPr>
            </w:pPr>
            <w:r>
              <w:rPr/>
              <w:t xml:space="preserve">Average Retail Prices 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Residential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NA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NA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NA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Small Commercial (&lt;20 kWh demand)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NA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NA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NA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Medium Commercial (20&lt;x&lt;500 kWh demand)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$6,225,208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117,937,978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$0.05278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Large Commercial (&gt;500 kWh demand)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$61,105,858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1,367,299,147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$0.04469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Bangor Hydro Electric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$7,563,973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159,847,478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$0.04732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Central Maine Power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$59,767,094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1,325,389,647</w:t>
            </w:r>
          </w:p>
        </w:tc>
        <w:tc>
          <w:tcPr>
            <w:tcW w:w="15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$0.04509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SUMMARY OF CUSTOMER COMPLAINTS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FORMAL ENFORCEMENT ACTIONS AGAINST EESI OR AN AFFILIATED INTEREST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CHANGES IN EESI OWNERSHIP OR CONTROL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REQUIRED IF SERVING RESIDENTIAL OR SMALL COMMERCIAL CUSTOMERS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360" w:leader="none"/>
              </w:tabs>
              <w:ind w:hanging="0" w:start="0"/>
              <w:rPr>
                <w:b w:val="false"/>
              </w:rPr>
            </w:pPr>
            <w:r>
              <w:rPr>
                <w:b w:val="false"/>
              </w:rPr>
              <w:tab/>
              <w:t>Copies of Disclosure Labels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 – No residential or small commercial customers are served.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 xml:space="preserve">Verification of Resource Portfolio Accuracy,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jc w:val="both"/>
              <w:rPr/>
            </w:pPr>
            <w:r>
              <w:rPr/>
              <w:tab/>
              <w:t xml:space="preserve">including market settlement data or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equivalent data from ISO-NE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 – No residential or small commercial customers are served.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 xml:space="preserve">Verification of Disaggregation Data, if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 xml:space="preserve">Differentiated Labels are provided to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customer groups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 – No residential or small commercial customers are served.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COMPLIANCE with 30% RENEWABLE PORTFOLIO REQUIREMENT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b/>
              </w:rPr>
              <w:tab/>
            </w:r>
            <w:r>
              <w:rPr/>
              <w:t>Total Retail kWh Sales in Maine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1,485,237,125 kWh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b/>
              </w:rPr>
              <w:tab/>
            </w:r>
            <w:r>
              <w:rPr/>
              <w:t xml:space="preserve">Total Retail kWh Sales from Eligible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Resources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544,690,574 kWh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 xml:space="preserve">Description of Eligible Resources, including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 xml:space="preserve">Fuel Type &amp; Amount Sold from Each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Eligible Resource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Biomass</w:t>
            </w:r>
          </w:p>
          <w:p>
            <w:pPr>
              <w:pStyle w:val="Normal"/>
              <w:rPr/>
            </w:pPr>
            <w:r>
              <w:rPr/>
              <w:t>Hydro</w:t>
            </w:r>
          </w:p>
          <w:p>
            <w:pPr>
              <w:pStyle w:val="Normal"/>
              <w:rPr/>
            </w:pPr>
            <w:r>
              <w:rPr/>
              <w:t>Solar</w:t>
            </w:r>
          </w:p>
          <w:p>
            <w:pPr>
              <w:pStyle w:val="Normal"/>
              <w:rPr/>
            </w:pPr>
            <w:r>
              <w:rPr/>
              <w:t>Other Renewable</w:t>
            </w:r>
          </w:p>
          <w:p>
            <w:pPr>
              <w:pStyle w:val="Normal"/>
              <w:rPr/>
            </w:pPr>
            <w:r>
              <w:rPr/>
              <w:t>Wind</w:t>
            </w:r>
          </w:p>
          <w:p>
            <w:pPr>
              <w:pStyle w:val="Normal"/>
              <w:rPr/>
            </w:pPr>
            <w:r>
              <w:rPr/>
              <w:t>Municipal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18,066,996</w:t>
            </w:r>
          </w:p>
          <w:p>
            <w:pPr>
              <w:pStyle w:val="Normal"/>
              <w:jc w:val="end"/>
              <w:rPr/>
            </w:pPr>
            <w:r>
              <w:rPr/>
              <w:t>68,016,926</w:t>
            </w:r>
          </w:p>
          <w:p>
            <w:pPr>
              <w:pStyle w:val="Normal"/>
              <w:jc w:val="end"/>
              <w:rPr/>
            </w:pPr>
            <w:r>
              <w:rPr/>
              <w:t>0</w:t>
            </w:r>
          </w:p>
          <w:p>
            <w:pPr>
              <w:pStyle w:val="Normal"/>
              <w:jc w:val="end"/>
              <w:rPr/>
            </w:pPr>
            <w:r>
              <w:rPr/>
              <w:t>256,933,992</w:t>
            </w:r>
          </w:p>
          <w:p>
            <w:pPr>
              <w:pStyle w:val="Normal"/>
              <w:jc w:val="end"/>
              <w:rPr/>
            </w:pPr>
            <w:r>
              <w:rPr/>
              <w:t>0</w:t>
            </w:r>
          </w:p>
          <w:p>
            <w:pPr>
              <w:pStyle w:val="Normal"/>
              <w:jc w:val="end"/>
              <w:rPr/>
            </w:pPr>
            <w:r>
              <w:rPr/>
              <w:t>173,230,608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>
                <w:b/>
              </w:rPr>
              <w:tab/>
            </w:r>
            <w:r>
              <w:rPr/>
              <w:t xml:space="preserve">Demonstration that Eligible Resources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 xml:space="preserve">have not been sold or used for load in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ab/>
              <w:t>other jurisdictions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See attached confirmations.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PORTFOLIO CERTIFICATION 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I, Greg Sharp, Vice President, certify that EESI has complied with the 30% Renewable Portfolio requirement, and that these resources have not been sold or used for other jurisdictions.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ab/>
              <w:tab/>
              <w:tab/>
              <w:tab/>
              <w:tab/>
              <w:tab/>
            </w:r>
          </w:p>
          <w:p>
            <w:pPr>
              <w:pStyle w:val="Heading3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Greg Sharp, Vice President</w:t>
            </w:r>
          </w:p>
          <w:p>
            <w:pPr>
              <w:pStyle w:val="Normal"/>
              <w:rPr/>
            </w:pPr>
            <w:r>
              <w:rPr/>
              <w:t xml:space="preserve">Date: </w:t>
            </w:r>
            <w:r>
              <w:rPr>
                <w:u w:val="single"/>
              </w:rPr>
              <w:tab/>
              <w:tab/>
              <w:tab/>
              <w:tab/>
              <w:tab/>
              <w:tab/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12"/>
                <w:u w:val="single"/>
              </w:rPr>
            </w:pPr>
            <w:r>
              <w:rPr>
                <w:sz w:val="12"/>
                <w:u w:val="single"/>
              </w:rPr>
            </w:r>
          </w:p>
        </w:tc>
      </w:tr>
    </w:tbl>
    <w:p>
      <w:pPr>
        <w:pStyle w:val="Normal"/>
        <w:rPr>
          <w:sz w:val="4"/>
        </w:rPr>
      </w:pPr>
      <w:r>
        <w:rPr>
          <w:sz w:val="4"/>
        </w:rPr>
      </w:r>
    </w:p>
    <w:sectPr>
      <w:type w:val="nextPage"/>
      <w:pgSz w:w="12240" w:h="15840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2001-04-27T13:39:00Z</dcterms:created>
  <dc:creator>hmathis</dc:creator>
  <dc:description/>
  <dc:language>en-CA</dc:language>
  <cp:lastModifiedBy>hmathis</cp:lastModifiedBy>
  <cp:lastPrinted>2001-04-16T13:55:00Z</cp:lastPrinted>
  <dcterms:modified xsi:type="dcterms:W3CDTF">2001-04-30T16:27:00Z</dcterms:modified>
  <cp:revision>11</cp:revision>
  <dc:subject/>
  <dc:title>MAINE ANNUAL REPORT DUE MAY 1, 2001</dc:title>
</cp:coreProperties>
</file>