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t>November 1, 2001</w:t>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CONFIRMATION--ENFOLIO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Firm Confirmation shall confirm the transaction agreed to and be binding between Mexicana DeCobre, S.A. de C.V.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u w:val="single"/>
        </w:rPr>
        <w:t>Buyer</w:t>
      </w:r>
      <w:r>
        <w:rPr>
          <w:rFonts w:cs="Arial Narrow" w:ascii="Arial Narrow" w:hAnsi="Arial Narrow"/>
          <w:sz w:val="20"/>
        </w:rPr>
        <w:t>”) and Customer to sell and deliver (“</w:t>
      </w:r>
      <w:r>
        <w:rPr>
          <w:rFonts w:cs="Arial Narrow" w:ascii="Arial Narrow" w:hAnsi="Arial Narrow"/>
          <w:b/>
          <w:sz w:val="20"/>
          <w:u w:val="single"/>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Period of Delivery:  </w:t>
        <w:tab/>
      </w:r>
      <w:r>
        <w:rPr>
          <w:rFonts w:cs="Arial Narrow" w:ascii="Arial Narrow" w:hAnsi="Arial Narrow"/>
          <w:bCs/>
          <w:sz w:val="20"/>
        </w:rPr>
        <w:t>November 1, 2001 through January 31, 2002</w:t>
      </w:r>
    </w:p>
    <w:p>
      <w:pPr>
        <w:pStyle w:val="Normal"/>
        <w:tabs>
          <w:tab w:val="clear" w:pos="720"/>
          <w:tab w:val="left" w:pos="8640" w:leader="none"/>
        </w:tabs>
        <w:ind w:hanging="5580" w:start="5580" w:end="0"/>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8640" w:leader="none"/>
        </w:tabs>
        <w:ind w:hanging="4140" w:start="4140" w:end="0"/>
        <w:jc w:val="both"/>
        <w:rPr>
          <w:rFonts w:ascii="Arial Narrow" w:hAnsi="Arial Narrow" w:cs="Arial Narrow"/>
          <w:bCs/>
          <w:sz w:val="20"/>
        </w:rPr>
      </w:pPr>
      <w:r>
        <w:rPr>
          <w:rFonts w:cs="Arial Narrow" w:ascii="Arial Narrow" w:hAnsi="Arial Narrow"/>
          <w:b/>
          <w:sz w:val="20"/>
        </w:rPr>
        <w:t xml:space="preserve">Daily Contract Quantity (DCQ):   </w:t>
        <w:tab/>
      </w:r>
      <w:r>
        <w:rPr>
          <w:rFonts w:cs="Arial Narrow" w:ascii="Arial Narrow" w:hAnsi="Arial Narrow"/>
          <w:bCs/>
          <w:sz w:val="20"/>
        </w:rPr>
        <w:t>8,000 MMBtus per Day (</w:t>
      </w:r>
      <w:r>
        <w:rPr>
          <w:rFonts w:cs="Arial Narrow" w:ascii="Arial Narrow" w:hAnsi="Arial Narrow"/>
          <w:sz w:val="20"/>
        </w:rPr>
        <w:t>"Tier I Quantities").  In addition Seller may schedule on a daily basis quanitites of gas in excess of the Tier I Quantities in quantities from 0 to 3,828 MMBtus per Day ("Tier II Quantities”).</w:t>
      </w:r>
    </w:p>
    <w:p>
      <w:pPr>
        <w:pStyle w:val="Normal"/>
        <w:tabs>
          <w:tab w:val="clear" w:pos="720"/>
          <w:tab w:val="left" w:pos="8640" w:leader="none"/>
        </w:tabs>
        <w:ind w:hanging="5580" w:start="5580" w:end="0"/>
        <w:jc w:val="both"/>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ab/>
      </w:r>
    </w:p>
    <w:p>
      <w:pPr>
        <w:pStyle w:val="Normal"/>
        <w:tabs>
          <w:tab w:val="clear" w:pos="720"/>
          <w:tab w:val="left" w:pos="4140" w:leader="none"/>
          <w:tab w:val="left" w:pos="8640" w:leader="none"/>
        </w:tabs>
        <w:ind w:hanging="3600" w:start="3600" w:end="0"/>
        <w:jc w:val="both"/>
        <w:rPr/>
      </w:pPr>
      <w:r>
        <w:rPr>
          <w:rFonts w:cs="Arial Narrow" w:ascii="Arial Narrow" w:hAnsi="Arial Narrow"/>
          <w:b/>
          <w:sz w:val="20"/>
        </w:rPr>
        <w:t>Delivery Point(s):</w:t>
      </w:r>
      <w:r>
        <w:rPr>
          <w:rFonts w:cs="Arial Narrow" w:ascii="Arial Narrow" w:hAnsi="Arial Narrow"/>
          <w:sz w:val="20"/>
        </w:rPr>
        <w:t xml:space="preserve"> </w:t>
        <w:tab/>
        <w:t xml:space="preserve">          </w:t>
        <w:tab/>
        <w:t>El Paso Natural Gas delivery point Ehrenberg/Blythe EPNG Code #42124</w:t>
        <w:tab/>
        <w:t xml:space="preserve"> </w:t>
        <w:tab/>
        <w:t xml:space="preserve">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left" w:pos="8640" w:leader="none"/>
        </w:tabs>
        <w:ind w:hanging="4140" w:start="4140" w:end="0"/>
        <w:jc w:val="both"/>
        <w:rPr>
          <w:rFonts w:ascii="Arial Narrow" w:hAnsi="Arial Narrow" w:cs="Arial Narrow"/>
          <w:sz w:val="20"/>
        </w:rPr>
      </w:pPr>
      <w:r>
        <w:rPr>
          <w:rFonts w:cs="Arial Narrow" w:ascii="Arial Narrow" w:hAnsi="Arial Narrow"/>
          <w:b/>
          <w:sz w:val="20"/>
        </w:rPr>
        <w:t>Contract Price (Per Mmbtu):</w:t>
      </w:r>
      <w:r>
        <w:rPr>
          <w:rFonts w:cs="Arial Narrow" w:ascii="Arial Narrow" w:hAnsi="Arial Narrow"/>
          <w:sz w:val="20"/>
        </w:rPr>
        <w:t xml:space="preserve"> </w:t>
        <w:tab/>
        <w:t xml:space="preserve">The Contract Price for Tier I Quantities for the period from November 1, 2001 through November 30, 2001 shall be the "Midweek Average" prive for the Southern Cal. Border Avg. as listed in the table entitled "Spot Gas Prices", published in the first issue in the relevant Month of </w:t>
      </w:r>
      <w:r>
        <w:rPr>
          <w:rFonts w:cs="Arial Narrow" w:ascii="Arial Narrow" w:hAnsi="Arial Narrow"/>
          <w:sz w:val="20"/>
          <w:u w:val="single"/>
        </w:rPr>
        <w:t>Natural Gas Intelligence Weekly Gas Price Index</w:t>
      </w:r>
      <w:r>
        <w:rPr>
          <w:rFonts w:cs="Arial Narrow" w:ascii="Arial Narrow" w:hAnsi="Arial Narrow"/>
          <w:sz w:val="20"/>
        </w:rPr>
        <w:t xml:space="preserve">, minus $0.025.  The Contract Price for Tier I Quantities for the period from December 1, 2001 through January 31, 2002 shall be the "Midweek Average" prive for the Southern Cal. Border Avg. as listed in the table entitled "Spot Gas Prices", published in the first issue in the relevant Month of </w:t>
      </w:r>
      <w:r>
        <w:rPr>
          <w:rFonts w:cs="Arial Narrow" w:ascii="Arial Narrow" w:hAnsi="Arial Narrow"/>
          <w:sz w:val="20"/>
          <w:u w:val="single"/>
        </w:rPr>
        <w:t>Natural Gas Intelligence Weekly Gas Price Index</w:t>
      </w:r>
      <w:r>
        <w:rPr>
          <w:rFonts w:cs="Arial Narrow" w:ascii="Arial Narrow" w:hAnsi="Arial Narrow"/>
          <w:sz w:val="20"/>
        </w:rPr>
        <w:t>, minus $0.01.  T</w:t>
      </w:r>
      <w:r>
        <w:rPr>
          <w:rFonts w:cs="Arial Narrow" w:ascii="Arial Narrow" w:hAnsi="Arial Narrow"/>
          <w:color w:val="000000"/>
          <w:sz w:val="20"/>
        </w:rPr>
        <w:t xml:space="preserve">he Contract Price for Tier II Quantities shall be the “Daily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under the listing applicable to “SoCal Gas, Large Packages” for the relevant gas day, minus $0.05.  If there is no single “Daily Midpoint” price published for that particular gas Day, but there is published a "Common" range of prices under the above column and listing, then the Spot Price shall be the average of such “Common” high and low prices.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SPOT PRICE:                                                   </w:t>
        <w:tab/>
      </w:r>
      <w:r>
        <w:rPr>
          <w:rFonts w:cs="Arial Narrow" w:ascii="Arial Narrow" w:hAnsi="Arial Narrow"/>
          <w:bCs/>
          <w:sz w:val="20"/>
        </w:rPr>
        <w:t>Socal Gas, Large Packages</w:t>
        <w:tab/>
      </w:r>
    </w:p>
    <w:p>
      <w:pPr>
        <w:pStyle w:val="Normal"/>
        <w:tabs>
          <w:tab w:val="clear" w:pos="720"/>
          <w:tab w:val="center" w:pos="10800" w:leader="none"/>
        </w:tabs>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4140" w:leader="none"/>
        </w:tabs>
        <w:rPr/>
      </w:pPr>
      <w:r>
        <w:rPr>
          <w:rFonts w:cs="Arial Narrow" w:ascii="Arial Narrow" w:hAnsi="Arial Narrow"/>
          <w:b/>
          <w:sz w:val="20"/>
        </w:rPr>
        <w:t>CERTAIN DEFINITIONS.</w:t>
      </w:r>
      <w:r>
        <w:rPr>
          <w:rFonts w:cs="Arial Narrow" w:ascii="Arial Narrow" w:hAnsi="Arial Narrow"/>
          <w:sz w:val="20"/>
        </w:rPr>
        <w:t xml:space="preserve">  </w:t>
        <w:tab/>
        <w:t>As used herein:</w:t>
      </w:r>
    </w:p>
    <w:p>
      <w:pPr>
        <w:pStyle w:val="BodyTextIndent"/>
        <w:rPr/>
      </w:pPr>
      <w:r>
        <w:rPr/>
        <w:tab/>
        <w:t>“Alternative Price” means the fixed price or fixed basis price agreed to by the Parties for the applicable Delivery Month.</w:t>
      </w:r>
    </w:p>
    <w:p>
      <w:pPr>
        <w:pStyle w:val="Normal"/>
        <w:tabs>
          <w:tab w:val="clear" w:pos="720"/>
          <w:tab w:val="left" w:pos="4140" w:leader="none"/>
        </w:tabs>
        <w:ind w:hanging="720" w:start="720" w:end="0"/>
        <w:jc w:val="both"/>
        <w:rPr>
          <w:rFonts w:ascii="Arial Narrow" w:hAnsi="Arial Narrow" w:cs="Arial Narrow"/>
          <w:sz w:val="20"/>
        </w:rPr>
      </w:pPr>
      <w:r>
        <w:rPr>
          <w:rFonts w:cs="Arial Narrow" w:ascii="Arial Narrow" w:hAnsi="Arial Narrow"/>
          <w:sz w:val="20"/>
        </w:rPr>
        <w:tab/>
      </w:r>
      <w:r>
        <w:br w:type="page"/>
      </w:r>
    </w:p>
    <w:p>
      <w:pPr>
        <w:pStyle w:val="Normal"/>
        <w:rPr>
          <w:rFonts w:ascii="Arial Narrow" w:hAnsi="Arial Narrow" w:cs="Arial Narrow"/>
          <w:sz w:val="20"/>
        </w:rPr>
      </w:pPr>
      <w:r>
        <w:rPr>
          <w:rFonts w:cs="Arial Narrow" w:ascii="Arial Narrow" w:hAnsi="Arial Narrow"/>
          <w:sz w:val="20"/>
        </w:rPr>
      </w:r>
    </w:p>
    <w:p>
      <w:pPr>
        <w:pStyle w:val="Normal"/>
        <w:ind w:hanging="4320" w:start="4320" w:end="0"/>
        <w:jc w:val="both"/>
        <w:rPr/>
      </w:pPr>
      <w:r>
        <w:rPr>
          <w:rFonts w:cs="Arial Narrow" w:ascii="Arial Narrow" w:hAnsi="Arial Narrow"/>
          <w:b/>
          <w:sz w:val="20"/>
        </w:rPr>
        <w:t>RIGHT TO DESIGNATE A ALTERNATIVEPRICE:</w:t>
      </w:r>
      <w:r>
        <w:rPr>
          <w:rFonts w:cs="Arial Narrow" w:ascii="Arial Narrow" w:hAnsi="Arial Narrow"/>
          <w:sz w:val="20"/>
        </w:rPr>
        <w:tab/>
        <w:t xml:space="preserve">Customer may request that the Contract Price for all or a portion of the DCQ be converted to a Alternative Price by contacting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and requesting any such Alternative Price for a Delivery Month(s), the portion of the DCQ, and the portion of the Period of Delivery for which the price is desired (the “Alternative Price Quantity”).  Any recorded offer and acceptance (the "Recorded Agreement") shall constitute the agreement by which the Parties are legally bound and the means by which the Parties are identified and authenticate a Transaction.  In addition, but not in lieu of the Recorded Agreement,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may thereafter send a facsimile to Customer which confirms the Recorded Agreement (the "Alternative Price Election Notice") in a form adequate at law, an example of which is attached hereto as Annex "A."  The Parties agree that any objections to the contents of the Alternative Price Election Notice confirmation shall be made in writing within 24 hours for all purposes hereunder and at law.  Each Recorded Agreement and, as available, each Alternative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 An AlternativePrice may not be converted to another price during the Delivery Months for which it has been elected.</w:t>
      </w:r>
    </w:p>
    <w:p>
      <w:pPr>
        <w:pStyle w:val="BodyTextIndent3"/>
        <w:tabs>
          <w:tab w:val="clear" w:pos="4680"/>
          <w:tab w:val="left" w:pos="3600" w:leader="none"/>
        </w:tabs>
        <w:ind w:hanging="3600" w:start="3600" w:end="0"/>
        <w:rPr>
          <w:rFonts w:ascii="Arial Narrow" w:hAnsi="Arial Narrow" w:cs="Arial Narrow"/>
          <w:sz w:val="20"/>
        </w:rPr>
      </w:pPr>
      <w:r>
        <w:rPr>
          <w:rFonts w:cs="Arial Narrow"/>
          <w:sz w:val="20"/>
        </w:rPr>
      </w:r>
    </w:p>
    <w:p>
      <w:pPr>
        <w:pStyle w:val="BodyTextIndent3"/>
        <w:tabs>
          <w:tab w:val="clear" w:pos="4680"/>
          <w:tab w:val="left" w:pos="3600" w:leader="none"/>
        </w:tabs>
        <w:ind w:hanging="4320" w:start="4320" w:end="0"/>
        <w:rPr/>
      </w:pPr>
      <w:r>
        <w:rPr>
          <w:b/>
          <w:sz w:val="20"/>
        </w:rPr>
        <w:t>ALTERNATIVE PRICE LIABILITY:</w:t>
      </w:r>
      <w:r>
        <w:rPr>
          <w:sz w:val="20"/>
        </w:rPr>
        <w:tab/>
        <w:tab/>
        <w:t>Notwithstanding anything to the contrary contained in this Firm Confirmation or the Firm GTC, upon Customer’s acceptance of the Alternative Price, Customer shall keep whole and hold Company harmless all cost and expenses associated with any financial hedges entered into by Company to convert the Contract Price into a Alternative Price with respect to the Alternative Price Quantity (the “Financial Settlement Amount”), in the event that the Alternative Price Quanity is not delivered hereunder for any reasons, including without limitation events of Force Majeure.</w:t>
      </w:r>
    </w:p>
    <w:p>
      <w:pPr>
        <w:pStyle w:val="Normal"/>
        <w:tabs>
          <w:tab w:val="clear" w:pos="720"/>
          <w:tab w:val="center" w:pos="10800" w:leader="none"/>
        </w:tabs>
        <w:ind w:hanging="3600" w:start="3600" w:end="0"/>
        <w:jc w:val="both"/>
        <w:rPr>
          <w:rFonts w:ascii="Arial Narrow" w:hAnsi="Arial Narrow" w:cs="Arial Narrow"/>
          <w:b/>
          <w:sz w:val="20"/>
        </w:rPr>
      </w:pPr>
      <w:r>
        <w:rPr>
          <w:rFonts w:cs="Arial Narrow" w:ascii="Arial Narrow" w:hAnsi="Arial Narrow"/>
          <w:b/>
          <w:sz w:val="20"/>
        </w:rPr>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center" w:pos="10800" w:leader="none"/>
        </w:tabs>
        <w:ind w:hanging="4320" w:start="4320" w:end="0"/>
        <w:jc w:val="both"/>
        <w:rPr/>
      </w:pPr>
      <w:r>
        <w:rPr>
          <w:rFonts w:cs="Arial Narrow" w:ascii="Arial Narrow" w:hAnsi="Arial Narrow"/>
          <w:b/>
          <w:sz w:val="20"/>
        </w:rPr>
        <w:t xml:space="preserve">Other: </w:t>
      </w:r>
      <w:r>
        <w:rPr>
          <w:rFonts w:cs="Arial Narrow" w:ascii="Arial Narrow" w:hAnsi="Arial Narrow"/>
          <w:sz w:val="20"/>
        </w:rPr>
        <w:tab/>
        <w:t>N/A</w:t>
      </w:r>
    </w:p>
    <w:p>
      <w:pPr>
        <w:pStyle w:val="Normal"/>
        <w:tabs>
          <w:tab w:val="clear" w:pos="720"/>
          <w:tab w:val="center" w:pos="10800" w:leader="none"/>
        </w:tabs>
        <w:ind w:hanging="3600" w:start="3600" w:end="0"/>
        <w:jc w:val="both"/>
        <w:rPr>
          <w:rFonts w:ascii="Arial Narrow" w:hAnsi="Arial Narrow" w:cs="Arial Narrow"/>
          <w:sz w:val="20"/>
        </w:rPr>
      </w:pPr>
      <w:r>
        <w:rPr>
          <w:rFonts w:cs="Arial Narrow" w:ascii="Arial Narrow" w:hAnsi="Arial Narrow"/>
          <w:sz w:val="20"/>
        </w:rPr>
        <w:tab/>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NOTICES/CORRESPONDENCE:</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Documentation and Deal Clearing Desk</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Termination Notice Facsimile No. (713) 646-4818</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INVOICES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r>
        <w:br w:type="page"/>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PAYMENTS:</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Bank of America, Dallas,TX, Account 3750494099</w:t>
      </w:r>
    </w:p>
    <w:p>
      <w:pPr>
        <w:pStyle w:val="Normal"/>
        <w:tabs>
          <w:tab w:val="clear" w:pos="720"/>
          <w:tab w:val="center" w:pos="5760" w:leader="none"/>
        </w:tabs>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 356-9427/1(800) 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INVOICES AND COMMUNICATION TO  CUSTOMER, AS FOLLOWS:</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Mexicana DeCobre, S.A. de C.V</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attached hereto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rFonts w:cs="Arial Narrow" w:ascii="Arial Narrow" w:hAnsi="Arial Narrow"/>
                <w:u w:val="single"/>
              </w:rPr>
              <w:t>CUSTOMER</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MEXICANA DE COBRE, S.A. de C.V.</w:t>
            </w:r>
          </w:p>
        </w:tc>
        <w:tc>
          <w:tcPr>
            <w:tcW w:w="5508" w:type="dxa"/>
            <w:tcBorders/>
          </w:tcPr>
          <w:p>
            <w:pPr>
              <w:pStyle w:val="Normal"/>
              <w:jc w:val="both"/>
              <w:rPr/>
            </w:pPr>
            <w:r>
              <w:rPr>
                <w:rFonts w:cs="Arial Narrow" w:ascii="Arial Narrow" w:hAnsi="Arial Narrow"/>
                <w:u w:val="single"/>
              </w:rPr>
              <w:t>COMPANY</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ENRON NORTH AMERICA CORP.</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bl>
    <w:p>
      <w:pPr>
        <w:pStyle w:val="Normal"/>
        <w:jc w:val="both"/>
        <w:rPr>
          <w:rFonts w:ascii="Arial Narrow" w:hAnsi="Arial Narrow" w:cs="Arial Narrow"/>
        </w:rPr>
      </w:pPr>
      <w:r>
        <w:rPr>
          <w:rFonts w:cs="Arial Narrow" w:ascii="Arial Narrow" w:hAnsi="Arial Narrow"/>
        </w:rPr>
      </w:r>
    </w:p>
    <w:p>
      <w:pPr>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jc w:val="center"/>
        <w:rPr>
          <w:rFonts w:ascii="Arial Narrow" w:hAnsi="Arial Narrow" w:cs="Arial Narrow"/>
          <w:b/>
          <w:u w:val="single"/>
        </w:rPr>
      </w:pPr>
      <w:r>
        <w:rPr>
          <w:rFonts w:cs="Arial Narrow" w:ascii="Arial Narrow" w:hAnsi="Arial Narrow"/>
          <w:b/>
          <w:u w:val="single"/>
        </w:rPr>
        <w:t>ANNEX "A"</w:t>
      </w:r>
    </w:p>
    <w:p>
      <w:pPr>
        <w:pStyle w:val="Normal"/>
        <w:jc w:val="center"/>
        <w:rPr/>
      </w:pPr>
      <w:r>
        <w:rPr>
          <w:rFonts w:cs="Arial Narrow" w:ascii="Arial Narrow" w:hAnsi="Arial Narrow"/>
          <w:b/>
          <w:u w:val="single"/>
        </w:rPr>
        <w:tab/>
        <w:tab/>
        <w:tab/>
        <w:tab/>
        <w:tab/>
        <w:tab/>
      </w:r>
      <w:r>
        <w:rPr>
          <w:rFonts w:cs="Arial Narrow" w:ascii="Arial Narrow" w:hAnsi="Arial Narrow"/>
          <w:b/>
        </w:rPr>
        <w:t xml:space="preserve">                                                        </w:t>
      </w:r>
    </w:p>
    <w:p>
      <w:pPr>
        <w:pStyle w:val="Normal"/>
        <w:jc w:val="center"/>
        <w:rPr>
          <w:rFonts w:ascii="Arial Narrow" w:hAnsi="Arial Narrow" w:cs="Arial Narrow"/>
          <w:b/>
        </w:rPr>
      </w:pPr>
      <w:r>
        <w:rPr>
          <w:rFonts w:cs="Arial Narrow" w:ascii="Arial Narrow" w:hAnsi="Arial Narrow"/>
          <w:b/>
        </w:rPr>
        <w:t xml:space="preserve">EXAMPLE FORM OF </w:t>
      </w:r>
    </w:p>
    <w:p>
      <w:pPr>
        <w:pStyle w:val="Normal"/>
        <w:jc w:val="center"/>
        <w:rPr>
          <w:rFonts w:ascii="Arial Narrow" w:hAnsi="Arial Narrow" w:cs="Arial Narrow"/>
          <w:b/>
        </w:rPr>
      </w:pPr>
      <w:r>
        <w:rPr>
          <w:rFonts w:cs="Arial Narrow" w:ascii="Arial Narrow" w:hAnsi="Arial Narrow"/>
          <w:b/>
        </w:rPr>
        <w:t>ALTERNATIVE PRICE ELECTION NOTICE</w:t>
      </w:r>
    </w:p>
    <w:p>
      <w:pPr>
        <w:pStyle w:val="Normal"/>
        <w:jc w:val="center"/>
        <w:rPr>
          <w:rFonts w:ascii="Arial Narrow" w:hAnsi="Arial Narrow" w:cs="Arial Narrow"/>
        </w:rPr>
      </w:pPr>
      <w:r>
        <w:rPr>
          <w:rFonts w:cs="Arial Narrow" w:ascii="Arial Narrow" w:hAnsi="Arial Narrow"/>
        </w:rPr>
        <w:t>Letterhead with Address</w:t>
      </w:r>
    </w:p>
    <w:p>
      <w:pPr>
        <w:pStyle w:val="Normal"/>
        <w:rPr>
          <w:rFonts w:ascii="Arial Narrow" w:hAnsi="Arial Narrow" w:cs="Arial Narrow"/>
        </w:rPr>
      </w:pPr>
      <w:r>
        <w:rPr>
          <w:rFonts w:cs="Arial Narrow" w:ascii="Arial Narrow" w:hAnsi="Arial Narrow"/>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RE:</w:t>
        <w:tab/>
        <w:t>ALTERNATIVE PRICE ELECTION NOTICE</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In accordance with the terms and conditions of the Confirmation  Letter dated June 1, 2001 and the Enfolio Firm General Terms &amp; Conditions, Mexicana De Cobre, S.A. de C.V. ("Customer") and </w:t>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"Company") confirm a AlternativePrice in accordance with the following. </w:t>
      </w:r>
      <w:r>
        <w:rPr>
          <w:rFonts w:cs="Arial Narrow" w:ascii="Arial Narrow" w:hAnsi="Arial Narrow"/>
        </w:rPr>
        <w:fldChar w:fldCharType="begin"/>
      </w:r>
      <w:r>
        <w:rPr>
          <w:rFonts w:cs="Arial Narrow" w:ascii="Arial Narrow" w:hAnsi="Arial Narrow"/>
        </w:rPr>
        <w:instrText xml:space="preserve"> MERGEFIELD Buyer </w:instrText>
      </w:r>
      <w:r>
        <w:rPr>
          <w:rFonts w:cs="Arial Narrow" w:ascii="Arial Narrow" w:hAnsi="Arial Narrow"/>
        </w:rPr>
        <w:fldChar w:fldCharType="separate"/>
      </w:r>
      <w:r>
        <w:rPr>
          <w:rFonts w:cs="Arial Narrow" w:ascii="Arial Narrow" w:hAnsi="Arial Narrow"/>
        </w:rPr>
        <w:t>Company</w:t>
      </w:r>
      <w:r>
        <w:rPr>
          <w:rFonts w:cs="Arial Narrow" w:ascii="Arial Narrow" w:hAnsi="Arial Narrow"/>
        </w:rPr>
        <w:fldChar w:fldCharType="end"/>
      </w:r>
      <w:r>
        <w:rPr>
          <w:rFonts w:cs="Arial Narrow" w:ascii="Arial Narrow" w:hAnsi="Arial Narrow"/>
        </w:rPr>
        <w:t xml:space="preserve"> to purchase and receive ("Buyer") and </w:t>
      </w:r>
      <w:r>
        <w:rPr>
          <w:rFonts w:cs="Arial Narrow" w:ascii="Arial Narrow" w:hAnsi="Arial Narrow"/>
        </w:rPr>
        <w:fldChar w:fldCharType="begin"/>
      </w:r>
      <w:r>
        <w:rPr>
          <w:rFonts w:cs="Arial Narrow" w:ascii="Arial Narrow" w:hAnsi="Arial Narrow"/>
        </w:rPr>
        <w:instrText xml:space="preserve"> MERGEFIELD Seller </w:instrText>
      </w:r>
      <w:r>
        <w:rPr>
          <w:rFonts w:cs="Arial Narrow" w:ascii="Arial Narrow" w:hAnsi="Arial Narrow"/>
        </w:rPr>
        <w:fldChar w:fldCharType="separate"/>
      </w:r>
      <w:r>
        <w:rPr>
          <w:rFonts w:cs="Arial Narrow" w:ascii="Arial Narrow" w:hAnsi="Arial Narrow"/>
        </w:rPr>
        <w:t>Customer</w:t>
      </w:r>
      <w:r>
        <w:rPr>
          <w:rFonts w:cs="Arial Narrow" w:ascii="Arial Narrow" w:hAnsi="Arial Narrow"/>
        </w:rPr>
        <w:fldChar w:fldCharType="end"/>
      </w:r>
      <w:r>
        <w:rPr>
          <w:rFonts w:cs="Arial Narrow" w:ascii="Arial Narrow" w:hAnsi="Arial Narrow"/>
        </w:rPr>
        <w:t xml:space="preserve"> to sell and deliver ("Seller").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Transaction Number:</w:t>
        <w:tab/>
        <w:tab/>
      </w:r>
      <w:r>
        <w:rPr>
          <w:rFonts w:cs="Arial Narrow" w:ascii="Arial Narrow" w:hAnsi="Arial Narrow"/>
          <w:u w:val="single"/>
        </w:rPr>
        <w:tab/>
        <w:tab/>
        <w:tab/>
        <w:tab/>
      </w:r>
      <w:r>
        <w:rPr>
          <w:rFonts w:cs="Arial Narrow" w:ascii="Arial Narrow" w:hAnsi="Arial Narrow"/>
        </w:rPr>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Delivery Month(s):</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Quantity:</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Fixed Date: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Price: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Basis Price:</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This Alternative Price Election Notice confirms the terms of the Recorded Agreement reached on the Fixed Date between you and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is subject to the terms of the above referenced agreements.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ab/>
        <w:tab/>
        <w:tab/>
        <w:tab/>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b/>
        <w:tab/>
        <w:tab/>
        <w:t xml:space="preserve">By: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Title: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Date:  </w:t>
      </w:r>
      <w:r>
        <w:rPr>
          <w:rFonts w:cs="Arial Narrow" w:ascii="Arial Narrow" w:hAnsi="Arial Narrow"/>
          <w:u w:val="single"/>
        </w:rPr>
        <w:tab/>
        <w:tab/>
        <w:tab/>
        <w:tab/>
        <w:tab/>
        <w:tab/>
        <w:tab/>
      </w:r>
      <w:r>
        <w:rPr>
          <w:rFonts w:cs="Arial Narrow" w:ascii="Arial Narrow" w:hAnsi="Arial Narrow"/>
        </w:rPr>
        <w:t xml:space="preserve">                                                                       </w:t>
      </w:r>
    </w:p>
    <w:p>
      <w:pPr>
        <w:pStyle w:val="Footer"/>
        <w:tabs>
          <w:tab w:val="clear" w:pos="4320"/>
          <w:tab w:val="clear" w:pos="8640"/>
        </w:tabs>
        <w:rPr>
          <w:rFonts w:ascii="Arial Narrow" w:hAnsi="Arial Narrow" w:cs="Arial Narrow"/>
        </w:rPr>
      </w:pPr>
      <w:r>
        <w:rPr>
          <w:rFonts w:cs="Arial Narrow" w:ascii="Arial Narrow" w:hAnsi="Arial Narrow"/>
        </w:rPr>
        <w:tab/>
        <w:tab/>
        <w:tab/>
        <w:tab/>
        <w:tab/>
        <w:t xml:space="preserve">       </w:t>
      </w:r>
    </w:p>
    <w:p>
      <w:pPr>
        <w:pStyle w:val="Footer"/>
        <w:tabs>
          <w:tab w:val="clear" w:pos="4320"/>
          <w:tab w:val="clear" w:pos="8640"/>
        </w:tabs>
        <w:rPr>
          <w:rFonts w:ascii="Arial Narrow" w:hAnsi="Arial Narrow" w:cs="Arial Narrow"/>
        </w:rPr>
      </w:pPr>
      <w:r>
        <w:rPr>
          <w:rFonts w:cs="Arial Narrow" w:ascii="Arial Narrow" w:hAnsi="Arial Narrow"/>
        </w:rPr>
      </w:r>
    </w:p>
    <w:sectPr>
      <w:headerReference w:type="default" r:id="rId6"/>
      <w:headerReference w:type="first" r:id="rId7"/>
      <w:footerReference w:type="default" r:id="rId8"/>
      <w:footerReference w:type="first" r:id="rId9"/>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/mnt/main-storage/datasets/enron-docs/doc/MEXICANA__CONFIRM__Nov1___Jan_31_A.doc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/mnt/main-storage/datasets/enron-docs/doc/MEXICANA__CONFIRM__Nov1___Jan_31_A.doc</w:t>
    </w:r>
    <w:r>
      <w:rPr>
        <w:sz w:val="16"/>
      </w:rPr>
      <w:fldChar w:fldCharType="end"/>
    </w:r>
  </w:p>
  <w:p>
    <w:pPr>
      <w:pStyle w:val="Heading"/>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/mnt/main-storage/datasets/enron-docs/doc/MEXICANA__CONFIRM__Nov1___Jan_31_A.doc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/mnt/main-storage/datasets/enron-docs/doc/MEXICANA__CONFIRM__Nov1___Jan_31_A.doc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November 1, 2001</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895244312"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November 1, 2001</w:t>
    </w:r>
  </w:p>
  <w:p>
    <w:pPr>
      <w:pStyle w:val="Header"/>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995694389"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szCs w:val="24"/>
    </w:rPr>
  </w:style>
  <w:style w:type="paragraph" w:styleId="BodyTextIndent">
    <w:name w:val="Body Text Indent"/>
    <w:basedOn w:val="Normal"/>
    <w:pPr>
      <w:tabs>
        <w:tab w:val="clear" w:pos="720"/>
        <w:tab w:val="left" w:pos="4140" w:leader="none"/>
      </w:tabs>
      <w:ind w:hanging="720" w:start="4140" w:end="0"/>
      <w:jc w:val="both"/>
    </w:pPr>
    <w:rPr>
      <w:rFonts w:ascii="Arial Narrow" w:hAnsi="Arial Narrow" w:cs="Arial Narro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2001-10-31T12:28:00Z</dcterms:created>
  <dc:creator>Daniel J. Hyvl</dc:creator>
  <dc:description/>
  <dc:language>en-CA</dc:language>
  <cp:lastModifiedBy>gnemec</cp:lastModifiedBy>
  <cp:lastPrinted>2001-10-30T17:29:00Z</cp:lastPrinted>
  <dcterms:modified xsi:type="dcterms:W3CDTF">2001-10-31T12:28:00Z</dcterms:modified>
  <cp:revision>2</cp:revision>
  <dc:subject/>
  <dc:title>March 23, 2000</dc:title>
</cp:coreProperties>
</file>