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June 1, 2001</w:t>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CONFIRMATION--ENFOLIO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and be binding between Mexicana DeCobre, S.A. de C.V.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u w:val="single"/>
        </w:rPr>
        <w:t>Buyer</w:t>
      </w:r>
      <w:r>
        <w:rPr>
          <w:rFonts w:cs="Arial Narrow" w:ascii="Arial Narrow" w:hAnsi="Arial Narrow"/>
          <w:sz w:val="20"/>
        </w:rPr>
        <w:t>”) and Customer sell and deliver (“</w:t>
      </w:r>
      <w:r>
        <w:rPr>
          <w:rFonts w:cs="Arial Narrow" w:ascii="Arial Narrow" w:hAnsi="Arial Narrow"/>
          <w:b/>
          <w:sz w:val="20"/>
          <w:u w:val="single"/>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Period of Delivery:  </w:t>
        <w:tab/>
      </w:r>
      <w:r>
        <w:rPr>
          <w:rFonts w:cs="Arial Narrow" w:ascii="Arial Narrow" w:hAnsi="Arial Narrow"/>
          <w:bCs/>
          <w:sz w:val="20"/>
        </w:rPr>
        <w:t>June 1, 2001 through October 31, 2001</w:t>
      </w:r>
    </w:p>
    <w:p>
      <w:pPr>
        <w:pStyle w:val="Normal"/>
        <w:tabs>
          <w:tab w:val="clear" w:pos="720"/>
          <w:tab w:val="left" w:pos="8640" w:leader="none"/>
        </w:tabs>
        <w:ind w:hanging="5580" w:start="5580" w:end="0"/>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Daily Contract Quantity (DCQ):   </w:t>
        <w:tab/>
      </w:r>
      <w:r>
        <w:rPr>
          <w:rFonts w:cs="Arial Narrow" w:ascii="Arial Narrow" w:hAnsi="Arial Narrow"/>
          <w:bCs/>
          <w:sz w:val="20"/>
        </w:rPr>
        <w:t>8,000 MMBtus per Day (“Tier I Quantities”).  In addition Seller may schedule on a daily basis quantities of gas in excess of the Tier I Quantities in quanities from 0 MMBtu to 3,000 MMBtus per Day (“Tier II Quanitites”).</w:t>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ab/>
      </w:r>
    </w:p>
    <w:p>
      <w:pPr>
        <w:pStyle w:val="Normal"/>
        <w:tabs>
          <w:tab w:val="clear" w:pos="720"/>
          <w:tab w:val="left" w:pos="4140" w:leader="none"/>
          <w:tab w:val="left" w:pos="8640" w:leader="none"/>
        </w:tabs>
        <w:ind w:hanging="3600" w:start="3600" w:end="0"/>
        <w:jc w:val="both"/>
        <w:rPr/>
      </w:pPr>
      <w:r>
        <w:rPr>
          <w:rFonts w:cs="Arial Narrow" w:ascii="Arial Narrow" w:hAnsi="Arial Narrow"/>
          <w:b/>
          <w:sz w:val="20"/>
        </w:rPr>
        <w:t>Delivery Point(s):</w:t>
      </w:r>
      <w:r>
        <w:rPr>
          <w:rFonts w:cs="Arial Narrow" w:ascii="Arial Narrow" w:hAnsi="Arial Narrow"/>
          <w:sz w:val="20"/>
        </w:rPr>
        <w:t xml:space="preserve"> </w:t>
        <w:tab/>
        <w:t xml:space="preserve">          </w:t>
        <w:tab/>
        <w:t>El Paso Natural Gas delivery point Ehrenberg/Blythe EPNG Code #42124</w:t>
        <w:tab/>
        <w:t xml:space="preserve"> </w:t>
        <w:tab/>
        <w:t xml:space="preserve">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left" w:pos="8640" w:leader="none"/>
        </w:tabs>
        <w:ind w:hanging="4140" w:start="4140" w:end="0"/>
        <w:jc w:val="both"/>
        <w:rPr>
          <w:rFonts w:ascii="Arial Narrow" w:hAnsi="Arial Narrow" w:cs="Arial Narrow"/>
          <w:sz w:val="20"/>
        </w:rPr>
      </w:pPr>
      <w:r>
        <w:rPr>
          <w:rFonts w:cs="Arial Narrow" w:ascii="Arial Narrow" w:hAnsi="Arial Narrow"/>
          <w:b/>
          <w:sz w:val="20"/>
        </w:rPr>
        <w:t>Contract Price (Per Mmbtu):</w:t>
      </w:r>
      <w:r>
        <w:rPr>
          <w:rFonts w:cs="Arial Narrow" w:ascii="Arial Narrow" w:hAnsi="Arial Narrow"/>
          <w:sz w:val="20"/>
        </w:rPr>
        <w:t xml:space="preserve"> </w:t>
        <w:tab/>
        <w:t xml:space="preserve">The Contract Price for </w:t>
      </w:r>
      <w:r>
        <w:rPr>
          <w:rFonts w:cs="Arial Narrow" w:ascii="Arial Narrow" w:hAnsi="Arial Narrow"/>
          <w:bCs/>
          <w:sz w:val="20"/>
        </w:rPr>
        <w:t>the</w:t>
      </w:r>
      <w:r>
        <w:rPr>
          <w:rFonts w:cs="Arial Narrow" w:ascii="Arial Narrow" w:hAnsi="Arial Narrow"/>
          <w:sz w:val="20"/>
        </w:rPr>
        <w:t xml:space="preserve"> Tier I Quantities, shall be </w:t>
      </w:r>
      <w:r>
        <w:rPr>
          <w:rFonts w:cs="Arial Narrow" w:ascii="Arial Narrow" w:hAnsi="Arial Narrow"/>
          <w:sz w:val="20"/>
          <w:u w:val="single"/>
        </w:rPr>
        <w:t>Natural Gas Intelligence Gas Price Index</w:t>
      </w:r>
      <w:r>
        <w:rPr>
          <w:rFonts w:cs="Arial Narrow" w:ascii="Arial Narrow" w:hAnsi="Arial Narrow"/>
          <w:sz w:val="20"/>
        </w:rPr>
        <w:t>, in the first issue of the delivery Month, in the table titled “CaliforniaBorder”, on the line titled “Southern California Border”, each Month during the Period of Delivery</w:t>
      </w:r>
      <w:r>
        <w:rPr>
          <w:rFonts w:cs="Arial Narrow" w:ascii="Arial Narrow" w:hAnsi="Arial Narrow"/>
          <w:b/>
          <w:sz w:val="20"/>
        </w:rPr>
        <w:t xml:space="preserve"> </w:t>
      </w:r>
      <w:r>
        <w:rPr>
          <w:rFonts w:cs="Arial Narrow" w:ascii="Arial Narrow" w:hAnsi="Arial Narrow"/>
          <w:sz w:val="20"/>
        </w:rPr>
        <w:t xml:space="preserve">plus/minus $____ per MMBtu.  The Contract Price for Tier II Quantities shall be </w:t>
      </w:r>
      <w:r>
        <w:rPr>
          <w:rFonts w:cs="Arial Narrow" w:ascii="Arial Narrow" w:hAnsi="Arial Narrow"/>
          <w:color w:val="000000"/>
          <w:sz w:val="20"/>
        </w:rPr>
        <w:t xml:space="preserve">the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“SoCal Gas, Large Packages” for the relevant gas day</w:t>
      </w:r>
      <w:r>
        <w:rPr>
          <w:rFonts w:cs="Arial Narrow" w:ascii="Arial Narrow" w:hAnsi="Arial Narrow"/>
          <w:sz w:val="20"/>
        </w:rPr>
        <w:t xml:space="preserve"> plus/minus $___ per MMBtu</w:t>
      </w:r>
      <w:r>
        <w:rPr>
          <w:rFonts w:cs="Arial Narrow" w:ascii="Arial Narrow" w:hAnsi="Arial Narrow"/>
          <w:color w:val="000000"/>
          <w:sz w:val="20"/>
        </w:rPr>
        <w:t xml:space="preserve">.  If there is no single “Daily Midpoint” price published for that particular gas Day, but there is published a "Common" range of prices under the above column and listing, then the Spot Price shall be the average of such “Common” high and low prices.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SPOT PRICE:                                                   </w:t>
        <w:tab/>
      </w:r>
      <w:r>
        <w:rPr>
          <w:rFonts w:cs="Arial Narrow" w:ascii="Arial Narrow" w:hAnsi="Arial Narrow"/>
          <w:bCs/>
          <w:sz w:val="20"/>
        </w:rPr>
        <w:t>Socal Gas, Large Packages</w:t>
        <w:tab/>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4140" w:leader="none"/>
        </w:tabs>
        <w:rPr/>
      </w:pPr>
      <w:r>
        <w:rPr>
          <w:rFonts w:cs="Arial Narrow" w:ascii="Arial Narrow" w:hAnsi="Arial Narrow"/>
          <w:b/>
          <w:sz w:val="20"/>
        </w:rPr>
        <w:t>CERTAIN DEFINITIONS.</w:t>
      </w:r>
      <w:r>
        <w:rPr>
          <w:rFonts w:cs="Arial Narrow" w:ascii="Arial Narrow" w:hAnsi="Arial Narrow"/>
          <w:sz w:val="20"/>
        </w:rPr>
        <w:t xml:space="preserve">  </w:t>
        <w:tab/>
        <w:t>As used herein:</w:t>
      </w:r>
    </w:p>
    <w:p>
      <w:pPr>
        <w:pStyle w:val="BodyTextIndent"/>
        <w:rPr/>
      </w:pPr>
      <w:r>
        <w:rPr/>
        <w:tab/>
        <w:t>“AlternativePrice” means the fixed price or fixed basis price agreed to by the Parties for the applicable Delivery Month prior to the NYMEX Deadline of the applicable Delivery Month.</w:t>
      </w:r>
    </w:p>
    <w:p>
      <w:pPr>
        <w:pStyle w:val="Normal"/>
        <w:tabs>
          <w:tab w:val="clear" w:pos="720"/>
          <w:tab w:val="left" w:pos="4140" w:leader="none"/>
        </w:tabs>
        <w:ind w:hanging="720" w:start="4140" w:end="0"/>
        <w:jc w:val="both"/>
        <w:rPr/>
      </w:pPr>
      <w:r>
        <w:rPr>
          <w:rFonts w:cs="Arial Narrow" w:ascii="Arial Narrow" w:hAnsi="Arial Narrow"/>
          <w:sz w:val="20"/>
        </w:rPr>
        <w:tab/>
        <w:t xml:space="preserve">"NYMEX Deadline" means 12:00 p.m. C.T. of the </w:t>
      </w:r>
      <w:r>
        <w:rPr>
          <w:rFonts w:cs="Arial Narrow" w:ascii="Arial Narrow" w:hAnsi="Arial Narrow"/>
          <w:sz w:val="20"/>
        </w:rPr>
        <w:fldChar w:fldCharType="begin"/>
      </w:r>
      <w:r>
        <w:rPr>
          <w:sz w:val="20"/>
          <w:rFonts w:cs="Arial Narrow" w:ascii="Arial Narrow" w:hAnsi="Arial Narrow"/>
        </w:rPr>
        <w:instrText xml:space="preserve"> MERGEFIELD NYMEXDeadline </w:instrText>
      </w:r>
      <w:r>
        <w:rPr>
          <w:sz w:val="20"/>
          <w:rFonts w:cs="Arial Narrow" w:ascii="Arial Narrow" w:hAnsi="Arial Narrow"/>
        </w:rPr>
        <w:fldChar w:fldCharType="separate"/>
      </w:r>
      <w:r>
        <w:rPr>
          <w:sz w:val="20"/>
          <w:rFonts w:cs="Arial Narrow" w:ascii="Arial Narrow" w:hAnsi="Arial Narrow"/>
        </w:rPr>
        <w:t>last Trading Day</w:t>
      </w:r>
      <w:r>
        <w:rPr>
          <w:sz w:val="20"/>
          <w:rFonts w:cs="Arial Narrow" w:ascii="Arial Narrow" w:hAnsi="Arial Narrow"/>
        </w:rPr>
        <w:fldChar w:fldCharType="end"/>
      </w:r>
      <w:r>
        <w:rPr>
          <w:rFonts w:cs="Arial Narrow" w:ascii="Arial Narrow" w:hAnsi="Arial Narrow"/>
          <w:sz w:val="20"/>
        </w:rPr>
        <w:t xml:space="preserve"> of a NYMEX gas futures contract for the applicable Delivery Month.</w:t>
      </w:r>
    </w:p>
    <w:p>
      <w:pPr>
        <w:pStyle w:val="Normal"/>
        <w:tabs>
          <w:tab w:val="clear" w:pos="720"/>
          <w:tab w:val="left" w:pos="4140" w:leader="none"/>
        </w:tabs>
        <w:ind w:hanging="720" w:start="720" w:end="0"/>
        <w:jc w:val="both"/>
        <w:rPr>
          <w:rFonts w:ascii="Arial Narrow" w:hAnsi="Arial Narrow" w:cs="Arial Narrow"/>
          <w:sz w:val="20"/>
        </w:rPr>
      </w:pPr>
      <w:r>
        <w:rPr>
          <w:rFonts w:cs="Arial Narrow" w:ascii="Arial Narrow" w:hAnsi="Arial Narrow"/>
          <w:sz w:val="20"/>
        </w:rPr>
        <w:tab/>
        <w:tab/>
        <w:t>"Trading Day" means any Day for which a NYMEX gas futures contract is determinable.</w:t>
      </w:r>
      <w:r>
        <w:br w:type="page"/>
      </w:r>
    </w:p>
    <w:p>
      <w:pPr>
        <w:pStyle w:val="Normal"/>
        <w:rPr>
          <w:rFonts w:ascii="Arial Narrow" w:hAnsi="Arial Narrow" w:cs="Arial Narrow"/>
          <w:sz w:val="20"/>
        </w:rPr>
      </w:pPr>
      <w:r>
        <w:rPr>
          <w:rFonts w:cs="Arial Narrow" w:ascii="Arial Narrow" w:hAnsi="Arial Narrow"/>
          <w:sz w:val="20"/>
        </w:rPr>
      </w:r>
    </w:p>
    <w:p>
      <w:pPr>
        <w:pStyle w:val="Normal"/>
        <w:ind w:hanging="4320" w:start="4320" w:end="0"/>
        <w:jc w:val="both"/>
        <w:rPr/>
      </w:pPr>
      <w:r>
        <w:rPr>
          <w:rFonts w:cs="Arial Narrow" w:ascii="Arial Narrow" w:hAnsi="Arial Narrow"/>
          <w:b/>
          <w:sz w:val="20"/>
        </w:rPr>
        <w:t>RIGHT TO DESIGNATE A ALTERNATIVEPRICE:</w:t>
      </w:r>
      <w:r>
        <w:rPr>
          <w:rFonts w:cs="Arial Narrow" w:ascii="Arial Narrow" w:hAnsi="Arial Narrow"/>
          <w:sz w:val="20"/>
        </w:rPr>
        <w:tab/>
        <w:t xml:space="preserve">Customer may request that the Contract Price for all or a portion of the DCQ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in a telephone conversation which may be recorded occurring between the hours of 8:00 a.m. and 5:00 p.m. C.T. requesting any such Alternative Price for a Delivery Month(s), the portion of the DCQ, and the portion of the Period of Delivery for which the price is desired (the “Alternative Price Quantity”);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An AlternativePrice may not be converted to another price during the Delivery Months for which it has been elected.</w:t>
      </w:r>
    </w:p>
    <w:p>
      <w:pPr>
        <w:pStyle w:val="BodyTextIndent3"/>
        <w:tabs>
          <w:tab w:val="clear" w:pos="4680"/>
          <w:tab w:val="left" w:pos="3600" w:leader="none"/>
        </w:tabs>
        <w:ind w:hanging="3600" w:start="3600" w:end="0"/>
        <w:rPr>
          <w:rFonts w:ascii="Arial Narrow" w:hAnsi="Arial Narrow" w:cs="Arial Narrow"/>
          <w:sz w:val="20"/>
        </w:rPr>
      </w:pPr>
      <w:r>
        <w:rPr>
          <w:rFonts w:cs="Arial Narrow"/>
          <w:sz w:val="20"/>
        </w:rPr>
      </w:r>
    </w:p>
    <w:p>
      <w:pPr>
        <w:pStyle w:val="BodyTextIndent3"/>
        <w:tabs>
          <w:tab w:val="clear" w:pos="4680"/>
          <w:tab w:val="left" w:pos="3600" w:leader="none"/>
        </w:tabs>
        <w:ind w:hanging="4320" w:start="4320" w:end="0"/>
        <w:rPr/>
      </w:pPr>
      <w:r>
        <w:rPr>
          <w:b/>
          <w:sz w:val="20"/>
        </w:rPr>
        <w:t>ALTERNATIVE PRICE LIABILITY:</w:t>
      </w:r>
      <w:r>
        <w:rPr>
          <w:sz w:val="20"/>
        </w:rPr>
        <w:tab/>
        <w:tab/>
        <w:t>Notwithstanding anything to the contrary contained in this Firm Confirmation or the Firm GTC, upon Customer’s acceptance of the Alternative Price, Customer shall keep whole and hold Company harmless all cost and expenses associated with any financial hedges enter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tabs>
          <w:tab w:val="clear" w:pos="720"/>
          <w:tab w:val="center" w:pos="10800" w:leader="none"/>
        </w:tabs>
        <w:ind w:hanging="3600" w:start="3600" w:end="0"/>
        <w:jc w:val="both"/>
        <w:rPr>
          <w:rFonts w:ascii="Arial Narrow" w:hAnsi="Arial Narrow" w:cs="Arial Narrow"/>
          <w:b/>
          <w:sz w:val="20"/>
        </w:rPr>
      </w:pPr>
      <w:r>
        <w:rPr>
          <w:rFonts w:cs="Arial Narrow" w:ascii="Arial Narrow" w:hAnsi="Arial Narrow"/>
          <w:b/>
          <w:sz w:val="20"/>
        </w:rPr>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center" w:pos="10800" w:leader="none"/>
        </w:tabs>
        <w:ind w:hanging="4320" w:start="4320" w:end="0"/>
        <w:jc w:val="both"/>
        <w:rPr/>
      </w:pPr>
      <w:r>
        <w:rPr>
          <w:rFonts w:cs="Arial Narrow" w:ascii="Arial Narrow" w:hAnsi="Arial Narrow"/>
          <w:b/>
          <w:sz w:val="20"/>
        </w:rPr>
        <w:t xml:space="preserve">Other: </w:t>
      </w:r>
      <w:r>
        <w:rPr>
          <w:rFonts w:cs="Arial Narrow" w:ascii="Arial Narrow" w:hAnsi="Arial Narrow"/>
          <w:sz w:val="20"/>
        </w:rPr>
        <w:tab/>
        <w:t>N/A</w:t>
      </w:r>
    </w:p>
    <w:p>
      <w:pPr>
        <w:pStyle w:val="Normal"/>
        <w:tabs>
          <w:tab w:val="clear" w:pos="720"/>
          <w:tab w:val="center" w:pos="10800" w:leader="none"/>
        </w:tabs>
        <w:ind w:hanging="3600" w:start="3600" w:end="0"/>
        <w:jc w:val="both"/>
        <w:rPr>
          <w:rFonts w:ascii="Arial Narrow" w:hAnsi="Arial Narrow" w:cs="Arial Narrow"/>
          <w:sz w:val="20"/>
        </w:rPr>
      </w:pPr>
      <w:r>
        <w:rPr>
          <w:rFonts w:cs="Arial Narrow" w:ascii="Arial Narrow" w:hAnsi="Arial Narrow"/>
          <w:sz w:val="20"/>
        </w:rPr>
        <w:tab/>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NOTICES/CORRESPONDENCE:</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Documentation and Deal Clearing Desk</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Termination Notice Facsimile No. (713) 646-4818</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INVOICES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r>
        <w:br w:type="page"/>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PAYMENTS: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Dallas,TX, Account 3750494099</w:t>
      </w:r>
    </w:p>
    <w:p>
      <w:pPr>
        <w:pStyle w:val="Normal"/>
        <w:tabs>
          <w:tab w:val="clear" w:pos="720"/>
          <w:tab w:val="center" w:pos="5760" w:leader="none"/>
        </w:tabs>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 356-9427/1(800) 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INVOICES AND COMMUNICATION TO  CUSTOMER, AS FOLLOWS:</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Mexicana DeCobre, S.A. de C.V</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attached hereto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Narrow" w:ascii="Arial Narrow" w:hAnsi="Arial Narrow"/>
                <w:u w:val="single"/>
              </w:rPr>
              <w:t>CUSTOMER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MEXICANA DE COBRE, S.A. de C.V.</w:t>
            </w:r>
          </w:p>
        </w:tc>
        <w:tc>
          <w:tcPr>
            <w:tcW w:w="5508" w:type="dxa"/>
            <w:tcBorders/>
          </w:tcPr>
          <w:p>
            <w:pPr>
              <w:pStyle w:val="Normal"/>
              <w:jc w:val="both"/>
              <w:rPr/>
            </w:pPr>
            <w:r>
              <w:rPr>
                <w:rFonts w:cs="Arial Narrow" w:ascii="Arial Narrow" w:hAnsi="Arial Narrow"/>
                <w:u w:val="single"/>
              </w:rPr>
              <w:t>COMPANY</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ENRON NORTH AMERICA CORP.</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bl>
    <w:p>
      <w:pPr>
        <w:pStyle w:val="Normal"/>
        <w:jc w:val="both"/>
        <w:rPr>
          <w:rFonts w:ascii="Arial Narrow" w:hAnsi="Arial Narrow" w:cs="Arial Narrow"/>
        </w:rPr>
      </w:pPr>
      <w:r>
        <w:rPr>
          <w:rFonts w:cs="Arial Narrow" w:ascii="Arial Narrow" w:hAnsi="Arial Narrow"/>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Mexicana De Cobre, S.A. de C.V.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"Company") confirm a AlternativePrice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1,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52369987"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1, 2001</w:t>
    </w:r>
  </w:p>
  <w:p>
    <w:pPr>
      <w:pStyle w:val="Header"/>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476500334"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szCs w:val="24"/>
    </w:rPr>
  </w:style>
  <w:style w:type="paragraph" w:styleId="BodyTextIndent">
    <w:name w:val="Body Text Indent"/>
    <w:basedOn w:val="Normal"/>
    <w:pPr>
      <w:tabs>
        <w:tab w:val="clear" w:pos="720"/>
        <w:tab w:val="left" w:pos="4140" w:leader="none"/>
      </w:tabs>
      <w:ind w:hanging="720" w:start="4140" w:end="0"/>
      <w:jc w:val="both"/>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2001-05-30T18:51:00Z</dcterms:created>
  <dc:creator>Daniel J. Hyvl</dc:creator>
  <dc:description/>
  <dc:language>en-CA</dc:language>
  <cp:lastModifiedBy>gnemec</cp:lastModifiedBy>
  <cp:lastPrinted>2001-05-30T17:42:00Z</cp:lastPrinted>
  <dcterms:modified xsi:type="dcterms:W3CDTF">2001-05-30T20:45:00Z</dcterms:modified>
  <cp:revision>16</cp:revision>
  <dc:subject/>
  <dc:title>March 23, 2000</dc:title>
</cp:coreProperties>
</file>