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pPr>
      <w:r>
        <w:rPr/>
        <w:t>June 1, 2001</w:t>
      </w:r>
    </w:p>
    <w:p>
      <w:pPr>
        <w:pStyle w:val="Normal"/>
        <w:jc w:val="both"/>
        <w:rPr>
          <w:b/>
        </w:rPr>
      </w:pPr>
      <w:r>
        <w:rPr>
          <w:b/>
        </w:rPr>
      </w:r>
    </w:p>
    <w:p>
      <w:pPr>
        <w:pStyle w:val="Normal"/>
        <w:jc w:val="both"/>
        <w:rPr>
          <w:b/>
        </w:rPr>
      </w:pPr>
      <w:r>
        <w:rPr>
          <w:b/>
        </w:rPr>
      </w:r>
    </w:p>
    <w:p>
      <w:pPr>
        <w:pStyle w:val="Normal"/>
        <w:jc w:val="both"/>
        <w:rPr/>
      </w:pPr>
      <w:r>
        <w:rPr/>
        <w:t>Mexicana De Cobre, S.A. de C.V.</w:t>
      </w:r>
    </w:p>
    <w:p>
      <w:pPr>
        <w:pStyle w:val="Normal"/>
        <w:jc w:val="both"/>
        <w:rPr/>
      </w:pPr>
      <w:r>
        <w:rPr/>
      </w:r>
    </w:p>
    <w:p>
      <w:pPr>
        <w:pStyle w:val="Normal"/>
        <w:jc w:val="both"/>
        <w:rPr/>
      </w:pPr>
      <w:r>
        <w:rPr/>
      </w:r>
    </w:p>
    <w:p>
      <w:pPr>
        <w:pStyle w:val="Normal"/>
        <w:jc w:val="both"/>
        <w:rPr/>
      </w:pPr>
      <w:r>
        <w:rPr/>
      </w:r>
    </w:p>
    <w:p>
      <w:pPr>
        <w:pStyle w:val="Normal"/>
        <w:jc w:val="center"/>
        <w:rPr/>
      </w:pPr>
      <w:r>
        <w:rPr>
          <w:b/>
        </w:rPr>
        <w:t>ENFOLIO</w:t>
      </w:r>
      <w:r>
        <w:rPr>
          <w:rFonts w:eastAsia="Symbol" w:cs="Symbol" w:ascii="Symbol" w:hAnsi="Symbol"/>
          <w:b/>
          <w:position w:val="6"/>
        </w:rPr>
        <w:sym w:font="Symbol" w:char="f0e2"/>
      </w:r>
      <w:r>
        <w:rPr>
          <w:b/>
          <w:position w:val="6"/>
        </w:rPr>
        <w:t xml:space="preserve"> </w:t>
      </w:r>
      <w:r>
        <w:rPr>
          <w:b/>
        </w:rPr>
        <w:t>FIRM CONFIRMATION--ENFOLIO</w:t>
      </w:r>
      <w:r>
        <w:rPr>
          <w:rFonts w:eastAsia="Symbol" w:cs="Symbol" w:ascii="Symbol" w:hAnsi="Symbol"/>
          <w:b/>
          <w:position w:val="6"/>
        </w:rPr>
        <w:sym w:font="Symbol" w:char="f0e2"/>
      </w:r>
      <w:r>
        <w:rPr>
          <w:b/>
          <w:position w:val="6"/>
        </w:rPr>
        <w:t xml:space="preserve"> </w:t>
      </w:r>
      <w:r>
        <w:rPr>
          <w:b/>
        </w:rPr>
        <w:t>FIRM GENERAL TERMS &amp; CONDITIONS GOVERN</w:t>
      </w:r>
    </w:p>
    <w:p>
      <w:pPr>
        <w:pStyle w:val="Normal"/>
        <w:jc w:val="both"/>
        <w:rPr>
          <w:b/>
        </w:rPr>
      </w:pPr>
      <w:r>
        <w:rPr>
          <w:b/>
        </w:rPr>
      </w:r>
    </w:p>
    <w:p>
      <w:pPr>
        <w:pStyle w:val="Normal"/>
        <w:jc w:val="both"/>
        <w:rPr/>
      </w:pPr>
      <w:r>
        <w:rPr/>
        <w:t>This Firm Confirmation shall confirm the transaction agreed to and be binding between Mexicana DeCobre, S.A. de C.V. ("</w:t>
      </w:r>
      <w:r>
        <w:rPr>
          <w:u w:val="single"/>
        </w:rPr>
        <w:t>Customer</w:t>
      </w:r>
      <w:r>
        <w:rPr/>
        <w:t>") and Enron North America Corp. ("</w:t>
      </w:r>
      <w:r>
        <w:rPr>
          <w:u w:val="single"/>
        </w:rPr>
        <w:t>Company</w:t>
      </w:r>
      <w:r>
        <w:rPr/>
        <w:t>") regarding the purchase and sale of Gas on the following terms.  Company to purchase and receive (“</w:t>
      </w:r>
      <w:r>
        <w:rPr>
          <w:b/>
          <w:u w:val="single"/>
        </w:rPr>
        <w:t>Buyer</w:t>
      </w:r>
      <w:r>
        <w:rPr/>
        <w:t>”) and Customer sell and deliver (“</w:t>
      </w:r>
      <w:r>
        <w:rPr>
          <w:b/>
          <w:u w:val="single"/>
        </w:rPr>
        <w:t>Seller</w:t>
      </w:r>
      <w:r>
        <w:rPr/>
        <w:t>”).</w:t>
      </w:r>
    </w:p>
    <w:p>
      <w:pPr>
        <w:pStyle w:val="Normal"/>
        <w:tabs>
          <w:tab w:val="clear" w:pos="720"/>
          <w:tab w:val="left" w:pos="8640" w:leader="none"/>
        </w:tabs>
        <w:ind w:hanging="5580" w:start="5580" w:end="0"/>
        <w:jc w:val="both"/>
        <w:rPr/>
      </w:pPr>
      <w:r>
        <w:rPr/>
      </w:r>
    </w:p>
    <w:p>
      <w:pPr>
        <w:pStyle w:val="Normal"/>
        <w:tabs>
          <w:tab w:val="clear" w:pos="720"/>
          <w:tab w:val="left" w:pos="8640" w:leader="none"/>
        </w:tabs>
        <w:ind w:hanging="3600" w:start="3600" w:end="0"/>
        <w:jc w:val="both"/>
        <w:rPr/>
      </w:pPr>
      <w:r>
        <w:rPr>
          <w:b/>
        </w:rPr>
        <w:t xml:space="preserve">Period of Delivery:  </w:t>
        <w:tab/>
        <w:t xml:space="preserve">        </w:t>
      </w:r>
      <w:r>
        <w:rPr>
          <w:bCs/>
        </w:rPr>
        <w:t>June 1, 2001 through October 31, 2001</w:t>
      </w:r>
    </w:p>
    <w:p>
      <w:pPr>
        <w:pStyle w:val="Normal"/>
        <w:tabs>
          <w:tab w:val="clear" w:pos="720"/>
          <w:tab w:val="left" w:pos="8640" w:leader="none"/>
        </w:tabs>
        <w:ind w:hanging="5580" w:start="5580" w:end="0"/>
        <w:jc w:val="both"/>
        <w:rPr/>
      </w:pPr>
      <w:r>
        <w:rPr>
          <w:b/>
        </w:rPr>
        <w:t xml:space="preserve">Designated Quantity (In MMBTUS):           </w:t>
      </w:r>
      <w:r>
        <w:rPr>
          <w:bCs/>
        </w:rPr>
        <w:t>8,000   MMBtu/day</w:t>
      </w:r>
      <w:r>
        <w:rPr>
          <w:b/>
        </w:rPr>
        <w:t xml:space="preserve">                          </w:t>
        <w:tab/>
        <w:tab/>
      </w:r>
    </w:p>
    <w:p>
      <w:pPr>
        <w:pStyle w:val="Normal"/>
        <w:tabs>
          <w:tab w:val="clear" w:pos="720"/>
          <w:tab w:val="left" w:pos="8640" w:leader="none"/>
        </w:tabs>
        <w:ind w:hanging="4140" w:start="4140" w:end="0"/>
        <w:jc w:val="both"/>
        <w:rPr/>
      </w:pPr>
      <w:r>
        <w:rPr>
          <w:b/>
          <w:bCs/>
        </w:rPr>
        <w:t xml:space="preserve">Maximum Designated Quantity:                  </w:t>
      </w:r>
      <w:r>
        <w:rPr/>
        <w:t>11,000 MMBtu/day</w:t>
      </w:r>
      <w:r>
        <w:rPr>
          <w:b/>
          <w:bCs/>
        </w:rPr>
        <w:t xml:space="preserve"> </w:t>
      </w:r>
    </w:p>
    <w:p>
      <w:pPr>
        <w:pStyle w:val="Normal"/>
        <w:tabs>
          <w:tab w:val="clear" w:pos="720"/>
          <w:tab w:val="left" w:pos="8640" w:leader="none"/>
        </w:tabs>
        <w:ind w:hanging="3600" w:start="3600" w:end="0"/>
        <w:jc w:val="both"/>
        <w:rPr/>
      </w:pPr>
      <w:r>
        <w:rPr>
          <w:b/>
        </w:rPr>
        <w:t>Delivery Point(s):</w:t>
      </w:r>
      <w:r>
        <w:rPr/>
        <w:t xml:space="preserve"> </w:t>
        <w:tab/>
        <w:t xml:space="preserve">        Socal Topock El Paso Natural Gas NPG Code #170</w:t>
        <w:tab/>
        <w:t xml:space="preserve"> </w:t>
        <w:tab/>
        <w:t xml:space="preserve"> </w:t>
      </w:r>
    </w:p>
    <w:p>
      <w:pPr>
        <w:pStyle w:val="Normal"/>
        <w:tabs>
          <w:tab w:val="clear" w:pos="720"/>
          <w:tab w:val="center" w:pos="10800" w:leader="none"/>
        </w:tabs>
        <w:jc w:val="both"/>
        <w:rPr>
          <w:b/>
        </w:rPr>
      </w:pPr>
      <w:r>
        <w:rPr>
          <w:b/>
        </w:rPr>
        <w:t>Spot Price:</w:t>
      </w:r>
    </w:p>
    <w:p>
      <w:pPr>
        <w:pStyle w:val="Normal"/>
        <w:tabs>
          <w:tab w:val="clear" w:pos="720"/>
          <w:tab w:val="center" w:pos="10800" w:leader="none"/>
        </w:tabs>
        <w:jc w:val="both"/>
        <w:rPr>
          <w:b/>
        </w:rPr>
      </w:pPr>
      <w:r>
        <w:rPr>
          <w:b/>
        </w:rPr>
      </w:r>
    </w:p>
    <w:p>
      <w:pPr>
        <w:pStyle w:val="Normal"/>
        <w:ind w:hanging="3600" w:start="3600" w:end="0"/>
        <w:jc w:val="both"/>
        <w:rPr/>
      </w:pPr>
      <w:r>
        <w:rPr>
          <w:b/>
        </w:rPr>
        <w:t>CONTRACT PRICE (PER MMBTU):</w:t>
      </w:r>
      <w:r>
        <w:rPr/>
        <w:t xml:space="preserve"> 1. For the Designated Quantity ("DCQ"), a price per MMBtu, calculated on a dry basis, equal to the "Index Price" published in </w:t>
      </w:r>
      <w:r>
        <w:rPr>
          <w:u w:val="single"/>
        </w:rPr>
        <w:t>Inside F.E.R.C.</w:t>
      </w:r>
      <w:r>
        <w:rPr/>
        <w:t xml:space="preserve"> for NGI Socal in the first-of-the-month issue of such publication for each Month during the Period of Delivery</w:t>
      </w:r>
      <w:r>
        <w:rPr>
          <w:b/>
        </w:rPr>
        <w:t xml:space="preserve"> </w:t>
      </w:r>
      <w:r>
        <w:rPr/>
        <w:t>plus $____ per MMBtu.</w:t>
      </w:r>
    </w:p>
    <w:p>
      <w:pPr>
        <w:pStyle w:val="Normal"/>
        <w:ind w:hanging="3600" w:start="3600" w:end="0"/>
        <w:jc w:val="both"/>
        <w:rPr/>
      </w:pPr>
      <w:r>
        <w:rPr/>
        <w:tab/>
        <w:t xml:space="preserve">2.  For the Maximum Designated Quantity ("MaxDQ") will be priced at the price set forth in </w:t>
      </w:r>
      <w:r>
        <w:rPr>
          <w:u w:val="single"/>
        </w:rPr>
        <w:t>Gas Daily,</w:t>
      </w:r>
      <w:r>
        <w:rPr/>
        <w:t xml:space="preserve"> in the column "Daily Price Survey" under Socal NPG as published were delivered plus $___ per MMBtu.</w:t>
      </w:r>
    </w:p>
    <w:p>
      <w:pPr>
        <w:pStyle w:val="Normal"/>
        <w:tabs>
          <w:tab w:val="clear" w:pos="720"/>
          <w:tab w:val="center" w:pos="10800" w:leader="none"/>
        </w:tabs>
        <w:jc w:val="both"/>
        <w:rPr>
          <w:b/>
        </w:rPr>
      </w:pPr>
      <w:r>
        <w:rPr>
          <w:b/>
        </w:rPr>
      </w:r>
    </w:p>
    <w:p>
      <w:pPr>
        <w:pStyle w:val="Normal"/>
        <w:tabs>
          <w:tab w:val="clear" w:pos="720"/>
          <w:tab w:val="center" w:pos="10800" w:leader="none"/>
        </w:tabs>
        <w:ind w:hanging="3600" w:start="3600" w:end="0"/>
        <w:jc w:val="both"/>
        <w:rPr/>
      </w:pPr>
      <w:r>
        <w:rPr>
          <w:b/>
        </w:rPr>
        <w:t xml:space="preserve">OTHER: </w:t>
      </w:r>
      <w:r>
        <w:rPr/>
        <w:tab/>
        <w:t>Buyer and Seller agree that Buyer shall be entitled to vary its receipt of Gas under this transaction between the MinDQ and the Maximum Designated Quantity without notice to Seller.</w:t>
      </w:r>
    </w:p>
    <w:p>
      <w:pPr>
        <w:pStyle w:val="Normal"/>
        <w:tabs>
          <w:tab w:val="clear" w:pos="720"/>
          <w:tab w:val="center" w:pos="10800" w:leader="none"/>
        </w:tabs>
        <w:ind w:hanging="3600" w:start="3600" w:end="0"/>
        <w:jc w:val="both"/>
        <w:rPr/>
      </w:pPr>
      <w:r>
        <w:rPr/>
        <w:tab/>
        <w:t>day, then the publication for the following published day will be used.</w:t>
      </w:r>
    </w:p>
    <w:p>
      <w:pPr>
        <w:pStyle w:val="Normal"/>
        <w:tabs>
          <w:tab w:val="clear" w:pos="720"/>
          <w:tab w:val="center" w:pos="10800" w:leader="none"/>
        </w:tabs>
        <w:ind w:hanging="3600" w:start="3600" w:end="0"/>
        <w:jc w:val="both"/>
        <w:rPr/>
      </w:pPr>
      <w:r>
        <w:rPr/>
        <w:tab/>
      </w:r>
    </w:p>
    <w:p>
      <w:pPr>
        <w:pStyle w:val="Normal"/>
        <w:tabs>
          <w:tab w:val="clear" w:pos="720"/>
          <w:tab w:val="left" w:pos="3600" w:leader="none"/>
        </w:tabs>
        <w:jc w:val="both"/>
        <w:rPr/>
      </w:pPr>
      <w:r>
        <w:rPr/>
      </w:r>
    </w:p>
    <w:p>
      <w:pPr>
        <w:pStyle w:val="Normal"/>
        <w:tabs>
          <w:tab w:val="clear" w:pos="720"/>
          <w:tab w:val="left" w:pos="3600" w:leader="none"/>
        </w:tabs>
        <w:jc w:val="both"/>
        <w:rPr/>
      </w:pPr>
      <w:r>
        <w:rPr/>
      </w:r>
    </w:p>
    <w:p>
      <w:pPr>
        <w:pStyle w:val="Normal"/>
        <w:tabs>
          <w:tab w:val="clear" w:pos="720"/>
          <w:tab w:val="center" w:pos="10800" w:leader="none"/>
        </w:tabs>
        <w:jc w:val="both"/>
        <w:rPr>
          <w:b/>
        </w:rPr>
      </w:pPr>
      <w:r>
        <w:rPr>
          <w:b/>
        </w:rPr>
        <w:t>NOTICE AND COMMUNICATION TO  COMPANY, AS FOLLOWS:</w:t>
      </w:r>
    </w:p>
    <w:p>
      <w:pPr>
        <w:pStyle w:val="Normal"/>
        <w:tabs>
          <w:tab w:val="clear" w:pos="720"/>
          <w:tab w:val="left" w:pos="8460" w:leader="none"/>
        </w:tabs>
        <w:ind w:hanging="5400" w:start="5400" w:end="0"/>
        <w:jc w:val="both"/>
        <w:rPr>
          <w:b/>
        </w:rPr>
      </w:pPr>
      <w:r>
        <w:rPr>
          <w:b/>
        </w:rPr>
        <w:t>NOTICES/CORRESPONDENCE:</w:t>
      </w:r>
    </w:p>
    <w:p>
      <w:pPr>
        <w:pStyle w:val="Normal"/>
        <w:tabs>
          <w:tab w:val="clear" w:pos="720"/>
          <w:tab w:val="left" w:pos="9000" w:leader="none"/>
        </w:tabs>
        <w:ind w:hanging="5400" w:start="5400" w:end="0"/>
        <w:jc w:val="both"/>
        <w:rPr/>
      </w:pPr>
      <w:r>
        <w:rPr/>
        <w:t>P. O. Box 4428</w:t>
      </w:r>
    </w:p>
    <w:p>
      <w:pPr>
        <w:pStyle w:val="Normal"/>
        <w:tabs>
          <w:tab w:val="clear" w:pos="720"/>
          <w:tab w:val="center" w:pos="5400" w:leader="none"/>
          <w:tab w:val="left" w:pos="9000" w:leader="none"/>
        </w:tabs>
        <w:ind w:hanging="5400" w:start="5400" w:end="0"/>
        <w:jc w:val="both"/>
        <w:rPr/>
      </w:pPr>
      <w:r>
        <w:rPr/>
        <w:t>Houston, Texas  77210-4428</w:t>
      </w:r>
    </w:p>
    <w:p>
      <w:pPr>
        <w:pStyle w:val="Normal"/>
        <w:tabs>
          <w:tab w:val="clear" w:pos="720"/>
          <w:tab w:val="center" w:pos="5400" w:leader="none"/>
          <w:tab w:val="left" w:pos="9000" w:leader="none"/>
        </w:tabs>
        <w:ind w:hanging="5400" w:start="5400" w:end="0"/>
        <w:jc w:val="both"/>
        <w:rPr/>
      </w:pPr>
      <w:r>
        <w:rPr/>
        <w:t>Attn:  Documentation and Deal Clearing Desk</w:t>
      </w:r>
    </w:p>
    <w:p>
      <w:pPr>
        <w:pStyle w:val="Normal"/>
        <w:tabs>
          <w:tab w:val="clear" w:pos="720"/>
          <w:tab w:val="center" w:pos="5400" w:leader="none"/>
          <w:tab w:val="left" w:pos="9000" w:leader="none"/>
        </w:tabs>
        <w:ind w:hanging="5400" w:start="5400" w:end="0"/>
        <w:jc w:val="both"/>
        <w:rPr/>
      </w:pPr>
      <w:r>
        <w:rPr/>
        <w:t>Facsimile No. (713) 646-4816</w:t>
      </w:r>
    </w:p>
    <w:p>
      <w:pPr>
        <w:pStyle w:val="Normal"/>
        <w:tabs>
          <w:tab w:val="clear" w:pos="720"/>
          <w:tab w:val="center" w:pos="5400" w:leader="none"/>
          <w:tab w:val="left" w:pos="9000" w:leader="none"/>
        </w:tabs>
        <w:ind w:hanging="5400" w:start="5400" w:end="0"/>
        <w:jc w:val="both"/>
        <w:rPr/>
      </w:pPr>
      <w:r>
        <w:rPr/>
        <w:t>Termination Notice Facsimile No. (713) 646-4818</w:t>
      </w:r>
    </w:p>
    <w:p>
      <w:pPr>
        <w:pStyle w:val="Normal"/>
        <w:tabs>
          <w:tab w:val="clear" w:pos="720"/>
          <w:tab w:val="left" w:pos="9000" w:leader="none"/>
        </w:tabs>
        <w:ind w:hanging="5400" w:start="5400" w:end="0"/>
        <w:jc w:val="both"/>
        <w:rPr>
          <w:b/>
        </w:rPr>
      </w:pPr>
      <w:r>
        <w:rPr>
          <w:b/>
        </w:rPr>
        <w:t>INVOICES :</w:t>
      </w:r>
    </w:p>
    <w:p>
      <w:pPr>
        <w:pStyle w:val="Normal"/>
        <w:tabs>
          <w:tab w:val="clear" w:pos="720"/>
          <w:tab w:val="left" w:pos="9000" w:leader="none"/>
        </w:tabs>
        <w:ind w:hanging="5400" w:start="5400" w:end="0"/>
        <w:jc w:val="both"/>
        <w:rPr/>
      </w:pPr>
      <w:r>
        <w:rPr/>
        <w:t>P. O. Box 4428</w:t>
      </w:r>
    </w:p>
    <w:p>
      <w:pPr>
        <w:pStyle w:val="Normal"/>
        <w:tabs>
          <w:tab w:val="clear" w:pos="720"/>
          <w:tab w:val="left" w:pos="9000" w:leader="none"/>
        </w:tabs>
        <w:ind w:hanging="5400" w:start="5400" w:end="0"/>
        <w:jc w:val="both"/>
        <w:rPr/>
      </w:pPr>
      <w:r>
        <w:rPr/>
        <w:t>Houston, Texas  77210-4428</w:t>
      </w:r>
    </w:p>
    <w:p>
      <w:pPr>
        <w:pStyle w:val="Normal"/>
        <w:tabs>
          <w:tab w:val="clear" w:pos="720"/>
          <w:tab w:val="left" w:pos="9000" w:leader="none"/>
        </w:tabs>
        <w:ind w:hanging="5400" w:start="5400" w:end="0"/>
        <w:jc w:val="both"/>
        <w:rPr/>
      </w:pPr>
      <w:r>
        <w:rPr/>
        <w:t>Attn: Contract Settlement</w:t>
      </w:r>
    </w:p>
    <w:p>
      <w:pPr>
        <w:pStyle w:val="Normal"/>
        <w:tabs>
          <w:tab w:val="clear" w:pos="720"/>
          <w:tab w:val="left" w:pos="9000" w:leader="none"/>
        </w:tabs>
        <w:ind w:hanging="5400" w:start="5400" w:end="0"/>
        <w:jc w:val="both"/>
        <w:rPr/>
      </w:pPr>
      <w:r>
        <w:rPr/>
        <w:t>Facsimile No. (713) 646-8420</w:t>
      </w:r>
      <w:r>
        <w:br w:type="page"/>
      </w:r>
    </w:p>
    <w:p>
      <w:pPr>
        <w:pStyle w:val="Normal"/>
        <w:tabs>
          <w:tab w:val="clear" w:pos="720"/>
          <w:tab w:val="left" w:pos="9000" w:leader="none"/>
        </w:tabs>
        <w:ind w:hanging="5400" w:start="5400" w:end="0"/>
        <w:jc w:val="both"/>
        <w:rPr>
          <w:b/>
        </w:rPr>
      </w:pPr>
      <w:r>
        <w:rPr>
          <w:b/>
        </w:rPr>
        <w:t>PAYMENTS:</w:t>
      </w:r>
    </w:p>
    <w:p>
      <w:pPr>
        <w:pStyle w:val="Normal"/>
        <w:tabs>
          <w:tab w:val="clear" w:pos="720"/>
          <w:tab w:val="center" w:pos="5760" w:leader="none"/>
        </w:tabs>
        <w:jc w:val="both"/>
        <w:rPr/>
      </w:pPr>
      <w:r>
        <w:rPr/>
        <w:t>Enron North America Corp.</w:t>
      </w:r>
    </w:p>
    <w:p>
      <w:pPr>
        <w:pStyle w:val="Normal"/>
        <w:tabs>
          <w:tab w:val="clear" w:pos="720"/>
          <w:tab w:val="center" w:pos="5760" w:leader="none"/>
        </w:tabs>
        <w:jc w:val="both"/>
        <w:rPr/>
      </w:pPr>
      <w:r>
        <w:rPr/>
        <w:t>ABA Routing 111000012 Bank of America, Dallas,TX, Account 3750494099</w:t>
      </w:r>
    </w:p>
    <w:p>
      <w:pPr>
        <w:pStyle w:val="Normal"/>
        <w:tabs>
          <w:tab w:val="clear" w:pos="720"/>
          <w:tab w:val="center" w:pos="5760" w:leader="none"/>
        </w:tabs>
        <w:jc w:val="both"/>
        <w:rPr>
          <w:b/>
        </w:rPr>
      </w:pPr>
      <w:r>
        <w:rPr>
          <w:b/>
        </w:rPr>
        <w:t>NOMINATIONS TO COMPANY:</w:t>
      </w:r>
    </w:p>
    <w:p>
      <w:pPr>
        <w:pStyle w:val="Normal"/>
        <w:tabs>
          <w:tab w:val="clear" w:pos="720"/>
          <w:tab w:val="left" w:pos="9000" w:leader="none"/>
        </w:tabs>
        <w:ind w:hanging="5400" w:start="5400" w:end="0"/>
        <w:jc w:val="both"/>
        <w:rPr/>
      </w:pPr>
      <w:r>
        <w:rPr/>
        <w:t>1(800) 356-9427/1(800) FLOWGAS</w:t>
      </w:r>
    </w:p>
    <w:p>
      <w:pPr>
        <w:pStyle w:val="Normal"/>
        <w:tabs>
          <w:tab w:val="clear" w:pos="720"/>
          <w:tab w:val="left" w:pos="9000" w:leader="none"/>
        </w:tabs>
        <w:ind w:hanging="5400" w:start="5400" w:end="0"/>
        <w:jc w:val="both"/>
        <w:rPr>
          <w:b/>
        </w:rPr>
      </w:pPr>
      <w:r>
        <w:rPr>
          <w:b/>
        </w:rPr>
        <w:t xml:space="preserve">SCHEDULING CONFIRMATIONS TO COMPANY: </w:t>
      </w:r>
    </w:p>
    <w:p>
      <w:pPr>
        <w:pStyle w:val="Normal"/>
        <w:tabs>
          <w:tab w:val="clear" w:pos="720"/>
          <w:tab w:val="left" w:pos="9000" w:leader="none"/>
        </w:tabs>
        <w:ind w:hanging="5400" w:start="5400" w:end="0"/>
        <w:jc w:val="both"/>
        <w:rPr/>
      </w:pPr>
      <w:r>
        <w:rPr/>
        <w:t>Attn: ENA Gas Trading</w:t>
      </w:r>
    </w:p>
    <w:p>
      <w:pPr>
        <w:pStyle w:val="Normal"/>
        <w:tabs>
          <w:tab w:val="clear" w:pos="720"/>
          <w:tab w:val="left" w:pos="9000" w:leader="none"/>
        </w:tabs>
        <w:ind w:hanging="5400" w:start="5400" w:end="0"/>
        <w:jc w:val="both"/>
        <w:rPr/>
      </w:pPr>
      <w:r>
        <w:rPr/>
        <w:t>Facsimile No.: (713) 646-2531</w:t>
      </w:r>
    </w:p>
    <w:p>
      <w:pPr>
        <w:pStyle w:val="Normal"/>
        <w:tabs>
          <w:tab w:val="clear" w:pos="720"/>
          <w:tab w:val="left" w:pos="9000" w:leader="none"/>
        </w:tabs>
        <w:ind w:hanging="5400" w:start="5400" w:end="0"/>
        <w:jc w:val="both"/>
        <w:rPr/>
      </w:pPr>
      <w:r>
        <w:rPr/>
      </w:r>
    </w:p>
    <w:p>
      <w:pPr>
        <w:pStyle w:val="Normal"/>
        <w:tabs>
          <w:tab w:val="clear" w:pos="720"/>
          <w:tab w:val="center" w:pos="10800" w:leader="none"/>
        </w:tabs>
        <w:jc w:val="both"/>
        <w:rPr>
          <w:b/>
        </w:rPr>
      </w:pPr>
      <w:r>
        <w:rPr>
          <w:b/>
        </w:rPr>
        <w:t>NOTICE, INVOICES AND COMMUNICATION TO  CUSTOMER, AS FOLLOWS:</w:t>
      </w:r>
    </w:p>
    <w:p>
      <w:pPr>
        <w:pStyle w:val="Normal"/>
        <w:tabs>
          <w:tab w:val="clear" w:pos="720"/>
          <w:tab w:val="left" w:pos="9000" w:leader="none"/>
        </w:tabs>
        <w:ind w:hanging="5400" w:start="5400" w:end="0"/>
        <w:jc w:val="both"/>
        <w:rPr/>
      </w:pPr>
      <w:r>
        <w:rPr/>
        <w:t>Mexicana DeCobre, S.A. de C.V</w:t>
      </w:r>
    </w:p>
    <w:p>
      <w:pPr>
        <w:pStyle w:val="Normal"/>
        <w:tabs>
          <w:tab w:val="clear" w:pos="720"/>
          <w:tab w:val="left" w:pos="9000" w:leader="none"/>
        </w:tabs>
        <w:ind w:hanging="5400" w:start="5400" w:end="0"/>
        <w:jc w:val="both"/>
        <w:rPr/>
      </w:pPr>
      <w:r>
        <w:rPr/>
      </w:r>
    </w:p>
    <w:p>
      <w:pPr>
        <w:pStyle w:val="Normal"/>
        <w:tabs>
          <w:tab w:val="clear" w:pos="720"/>
          <w:tab w:val="left" w:pos="9000" w:leader="none"/>
        </w:tabs>
        <w:ind w:hanging="5400" w:start="5400" w:end="0"/>
        <w:jc w:val="both"/>
        <w:rPr/>
      </w:pPr>
      <w:r>
        <w:rPr/>
      </w:r>
    </w:p>
    <w:p>
      <w:pPr>
        <w:pStyle w:val="Normal"/>
        <w:jc w:val="both"/>
        <w:rPr/>
      </w:pPr>
      <w:r>
        <w:rPr/>
        <w:t>This Firm Confirmation is being provided pursuant to and in accordance with the ENFOLIO FIRM GENERAL TERMS &amp; CONDITIONS attached hereto (the "</w:t>
      </w:r>
      <w:r>
        <w:rPr>
          <w:u w:val="single"/>
        </w:rPr>
        <w:t>Firm GTC</w:t>
      </w:r>
      <w:r>
        <w:rPr/>
        <w:t>"), and constitutes part of and is subject to all of the provisions of the Firm GTC.  Any objection of Customer to this Firm Confirmation must be made by written notice to Company within 10 days of receipt of same.</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u w:val="single"/>
              </w:rPr>
              <w:t>CUSTOMER</w:t>
            </w:r>
            <w:r>
              <w:rPr/>
              <w:t>:</w:t>
            </w:r>
          </w:p>
          <w:p>
            <w:pPr>
              <w:pStyle w:val="Normal"/>
              <w:jc w:val="both"/>
              <w:rPr/>
            </w:pPr>
            <w:r>
              <w:rPr/>
            </w:r>
          </w:p>
          <w:p>
            <w:pPr>
              <w:pStyle w:val="Normal"/>
              <w:jc w:val="both"/>
              <w:rPr/>
            </w:pPr>
            <w:r>
              <w:rPr/>
              <w:t>MEXICANA DE COBRE, S.A. de C.V.</w:t>
            </w:r>
          </w:p>
        </w:tc>
        <w:tc>
          <w:tcPr>
            <w:tcW w:w="5508" w:type="dxa"/>
            <w:tcBorders/>
          </w:tcPr>
          <w:p>
            <w:pPr>
              <w:pStyle w:val="Normal"/>
              <w:jc w:val="both"/>
              <w:rPr/>
            </w:pPr>
            <w:r>
              <w:rPr>
                <w:u w:val="single"/>
              </w:rPr>
              <w:t>COMPANY</w:t>
            </w:r>
            <w:r>
              <w:rPr/>
              <w:t>:</w:t>
            </w:r>
          </w:p>
          <w:p>
            <w:pPr>
              <w:pStyle w:val="Normal"/>
              <w:jc w:val="both"/>
              <w:rPr/>
            </w:pPr>
            <w:r>
              <w:rPr/>
            </w:r>
          </w:p>
          <w:p>
            <w:pPr>
              <w:pStyle w:val="Normal"/>
              <w:jc w:val="both"/>
              <w:rPr/>
            </w:pPr>
            <w:r>
              <w:rPr/>
              <w:t>ENRON NORTH AMERICA CORP.</w:t>
            </w:r>
          </w:p>
        </w:tc>
        <w:tc>
          <w:tcPr>
            <w:tcW w:w="5508" w:type="dxa"/>
            <w:tcBorders/>
          </w:tcPr>
          <w:p>
            <w:pPr>
              <w:pStyle w:val="Normal"/>
              <w:snapToGrid w:val="false"/>
              <w:jc w:val="both"/>
              <w:rPr/>
            </w:pPr>
            <w:r>
              <w:rPr/>
            </w:r>
          </w:p>
        </w:tc>
      </w:tr>
      <w:tr>
        <w:trPr/>
        <w:tc>
          <w:tcPr>
            <w:tcW w:w="5508" w:type="dxa"/>
            <w:tcBorders/>
          </w:tcPr>
          <w:p>
            <w:pPr>
              <w:pStyle w:val="Normal"/>
              <w:snapToGrid w:val="false"/>
              <w:jc w:val="both"/>
              <w:rPr/>
            </w:pPr>
            <w:r>
              <w:rPr/>
            </w:r>
          </w:p>
        </w:tc>
        <w:tc>
          <w:tcPr>
            <w:tcW w:w="5508" w:type="dxa"/>
            <w:tcBorders/>
          </w:tcPr>
          <w:p>
            <w:pPr>
              <w:pStyle w:val="Normal"/>
              <w:snapToGrid w:val="false"/>
              <w:jc w:val="both"/>
              <w:rPr/>
            </w:pPr>
            <w:r>
              <w:rPr/>
            </w:r>
          </w:p>
        </w:tc>
        <w:tc>
          <w:tcPr>
            <w:tcW w:w="5508" w:type="dxa"/>
            <w:tcBorders/>
          </w:tcPr>
          <w:p>
            <w:pPr>
              <w:pStyle w:val="Normal"/>
              <w:snapToGrid w:val="false"/>
              <w:jc w:val="both"/>
              <w:rPr/>
            </w:pPr>
            <w:r>
              <w:rPr/>
            </w:r>
          </w:p>
        </w:tc>
      </w:tr>
      <w:tr>
        <w:trPr/>
        <w:tc>
          <w:tcPr>
            <w:tcW w:w="5508" w:type="dxa"/>
            <w:tcBorders/>
          </w:tcPr>
          <w:p>
            <w:pPr>
              <w:pStyle w:val="Normal"/>
              <w:snapToGrid w:val="false"/>
              <w:jc w:val="both"/>
              <w:rPr/>
            </w:pPr>
            <w:r>
              <w:rPr/>
            </w:r>
          </w:p>
          <w:p>
            <w:pPr>
              <w:pStyle w:val="Normal"/>
              <w:jc w:val="both"/>
              <w:rPr/>
            </w:pPr>
            <w:r>
              <w:rPr/>
              <w:t>By _________________________________</w:t>
            </w:r>
          </w:p>
        </w:tc>
        <w:tc>
          <w:tcPr>
            <w:tcW w:w="5508" w:type="dxa"/>
            <w:tcBorders/>
          </w:tcPr>
          <w:p>
            <w:pPr>
              <w:pStyle w:val="Normal"/>
              <w:snapToGrid w:val="false"/>
              <w:jc w:val="both"/>
              <w:rPr/>
            </w:pPr>
            <w:r>
              <w:rPr/>
            </w:r>
          </w:p>
          <w:p>
            <w:pPr>
              <w:pStyle w:val="Normal"/>
              <w:jc w:val="both"/>
              <w:rPr/>
            </w:pPr>
            <w:r>
              <w:rPr/>
              <w:t>By _________________________________</w:t>
            </w:r>
          </w:p>
        </w:tc>
        <w:tc>
          <w:tcPr>
            <w:tcW w:w="5508" w:type="dxa"/>
            <w:tcBorders/>
          </w:tcPr>
          <w:p>
            <w:pPr>
              <w:pStyle w:val="Normal"/>
              <w:snapToGrid w:val="false"/>
              <w:jc w:val="both"/>
              <w:rPr/>
            </w:pPr>
            <w:r>
              <w:rPr/>
            </w:r>
          </w:p>
        </w:tc>
      </w:tr>
      <w:tr>
        <w:trPr/>
        <w:tc>
          <w:tcPr>
            <w:tcW w:w="5508" w:type="dxa"/>
            <w:tcBorders/>
          </w:tcPr>
          <w:p>
            <w:pPr>
              <w:pStyle w:val="Normal"/>
              <w:jc w:val="both"/>
              <w:rPr/>
            </w:pPr>
            <w:r>
              <w:rPr/>
              <w:t xml:space="preserve">     </w:t>
            </w:r>
            <w:r>
              <w:rPr/>
              <w:t>Name: ___________________________</w:t>
            </w:r>
          </w:p>
        </w:tc>
        <w:tc>
          <w:tcPr>
            <w:tcW w:w="5508" w:type="dxa"/>
            <w:tcBorders/>
          </w:tcPr>
          <w:p>
            <w:pPr>
              <w:pStyle w:val="Normal"/>
              <w:jc w:val="both"/>
              <w:rPr/>
            </w:pPr>
            <w:r>
              <w:rPr/>
              <w:t xml:space="preserve">     </w:t>
            </w:r>
            <w:r>
              <w:rPr/>
              <w:t>Name: ___________________________</w:t>
            </w:r>
          </w:p>
        </w:tc>
        <w:tc>
          <w:tcPr>
            <w:tcW w:w="5508" w:type="dxa"/>
            <w:tcBorders/>
          </w:tcPr>
          <w:p>
            <w:pPr>
              <w:pStyle w:val="Normal"/>
              <w:snapToGrid w:val="false"/>
              <w:jc w:val="both"/>
              <w:rPr/>
            </w:pPr>
            <w:r>
              <w:rPr/>
            </w:r>
          </w:p>
        </w:tc>
      </w:tr>
      <w:tr>
        <w:trPr/>
        <w:tc>
          <w:tcPr>
            <w:tcW w:w="5508" w:type="dxa"/>
            <w:tcBorders/>
          </w:tcPr>
          <w:p>
            <w:pPr>
              <w:pStyle w:val="Normal"/>
              <w:jc w:val="both"/>
              <w:rPr/>
            </w:pPr>
            <w:r>
              <w:rPr/>
              <w:t xml:space="preserve">     </w:t>
            </w:r>
            <w:r>
              <w:rPr/>
              <w:t>Title:   ____________________________</w:t>
            </w:r>
          </w:p>
        </w:tc>
        <w:tc>
          <w:tcPr>
            <w:tcW w:w="5508" w:type="dxa"/>
            <w:tcBorders/>
          </w:tcPr>
          <w:p>
            <w:pPr>
              <w:pStyle w:val="Normal"/>
              <w:jc w:val="both"/>
              <w:rPr/>
            </w:pPr>
            <w:r>
              <w:rPr/>
              <w:t xml:space="preserve">     </w:t>
            </w:r>
            <w:r>
              <w:rPr/>
              <w:t>Title:   ____________________________</w:t>
            </w:r>
          </w:p>
        </w:tc>
        <w:tc>
          <w:tcPr>
            <w:tcW w:w="5508" w:type="dxa"/>
            <w:tcBorders/>
          </w:tcPr>
          <w:p>
            <w:pPr>
              <w:pStyle w:val="Normal"/>
              <w:snapToGrid w:val="false"/>
              <w:jc w:val="both"/>
              <w:rPr/>
            </w:pPr>
            <w:r>
              <w:rPr/>
            </w:r>
          </w:p>
        </w:tc>
      </w:tr>
      <w:tr>
        <w:trPr/>
        <w:tc>
          <w:tcPr>
            <w:tcW w:w="5508" w:type="dxa"/>
            <w:tcBorders/>
          </w:tcPr>
          <w:p>
            <w:pPr>
              <w:pStyle w:val="Normal"/>
              <w:jc w:val="both"/>
              <w:rPr/>
            </w:pPr>
            <w:r>
              <w:rPr/>
              <w:t xml:space="preserve">     </w:t>
            </w:r>
            <w:r>
              <w:rPr/>
              <w:t>Date:   ____________________________</w:t>
            </w:r>
          </w:p>
        </w:tc>
        <w:tc>
          <w:tcPr>
            <w:tcW w:w="5508" w:type="dxa"/>
            <w:tcBorders/>
          </w:tcPr>
          <w:p>
            <w:pPr>
              <w:pStyle w:val="Normal"/>
              <w:jc w:val="both"/>
              <w:rPr/>
            </w:pPr>
            <w:r>
              <w:rPr/>
              <w:t xml:space="preserve">     </w:t>
            </w:r>
            <w:r>
              <w:rPr/>
              <w:t>Date:   ____________________________</w:t>
            </w:r>
          </w:p>
        </w:tc>
        <w:tc>
          <w:tcPr>
            <w:tcW w:w="5508" w:type="dxa"/>
            <w:tcBorders/>
          </w:tcPr>
          <w:p>
            <w:pPr>
              <w:pStyle w:val="Normal"/>
              <w:snapToGrid w:val="false"/>
              <w:jc w:val="both"/>
              <w:rPr/>
            </w:pPr>
            <w:r>
              <w:rPr/>
            </w:r>
          </w:p>
        </w:tc>
      </w:tr>
    </w:tbl>
    <w:p>
      <w:pPr>
        <w:pStyle w:val="Normal"/>
        <w:jc w:val="both"/>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/mnt/main-storage/datasets/enron-docs/doc/MEXICANA__CONFIRM_-f6098f16e8ecbb0257ed37a45c6d0e1228c63da2ecd833cb34972ae689d7ff2f.doc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/mnt/main-storage/datasets/enron-docs/doc/MEXICANA__CONFIRM_-f6098f16e8ecbb0257ed37a45c6d0e1228c63da2ecd833cb34972ae689d7ff2f.doc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Central Power &amp; Light Company</w:t>
    </w:r>
  </w:p>
  <w:p>
    <w:pPr>
      <w:pStyle w:val="Header"/>
      <w:rPr>
        <w:rFonts w:ascii="Arial" w:hAnsi="Arial" w:cs="Arial"/>
        <w:sz w:val="20"/>
      </w:rPr>
    </w:pPr>
    <w:r>
      <w:rPr>
        <w:rFonts w:cs="Arial" w:ascii="Arial" w:hAnsi="Arial"/>
        <w:sz w:val="20"/>
      </w:rPr>
      <w:t>April 14,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32587948"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2001-05-29T19:55:00Z</dcterms:created>
  <dc:creator>Daniel J. Hyvl</dc:creator>
  <dc:description/>
  <dc:language>en-CA</dc:language>
  <cp:lastModifiedBy>dperlin</cp:lastModifiedBy>
  <cp:lastPrinted>2001-05-30T11:43:00Z</cp:lastPrinted>
  <dcterms:modified xsi:type="dcterms:W3CDTF">2001-05-30T14:13:00Z</dcterms:modified>
  <cp:revision>5</cp:revision>
  <dc:subject/>
  <dc:title>March 23, 2000</dc:title>
</cp:coreProperties>
</file>