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pPr>
      <w:r>
        <w:rPr>
          <w:rFonts w:eastAsia="Geneva" w:cs="Geneva" w:ascii="Geneva" w:hAnsi="Geneva"/>
          <w:color w:val="000000"/>
          <w:sz w:val="24"/>
          <w:szCs w:val="24"/>
        </w:rPr>
        <w:t>{\rtf1\ansi\ansicpg1252\uc1 \deff0\deflang1033\deflangfe1033{\fonttbl{\f0\froman\fcharset0\fprq2{\*\panose 02020603050405020304}Times New Roman;}{\f65\froman\fcharset238\fprq2 Times New Roman CE;}{\f66\froman\fcharset204\fprq2 Times New Roman Cyr;}{\f68\froman\fcharset161\fprq2 Times New Roman Greek;}{\f69\froman\fcharset162\fprq2 Times New Roman Tur;}{\f70\froman\fcharset186\fprq2 Times New Roman Baltic;}}{\colortbl;\red0\green0\blue0;\red0\green0\blue255;\red0\green255\blue255;\red0\green255\blue0;\red255\green0\blue255;\red255\green0\blue0;\red255\green255\blue0;\red255\green255\blue255;\red0\green0\blue128;\red0\green128\blue128;\red0\green128\blue0;\red128\green0\blue128;\red128\green0\blue0;\red128\green128\blue0;\red128\green128\blue128;\red192\green192\blue192;}{\stylesheet{\nowidctlpar\widctlpar\adjustright \fs20\cgrid \snext0 Normal;}{\*\cs10 \additive Default Paragraph Font;}}{\*\listtable{\list\listtemplateid67698703\listsimple{\listlevel\levelnfc0\leveljc0\levelfollow0\levelstartat1\levelspace0\levelindent0{\leveltext\'02\'00.;}{\levelnumbers\'01;}\fbias0 \fi-360\li360\jclisttab\tx360 }{\listname ;}\listid1919099119}}{\*\listoverridetable{\listoverride\listid1919099119\listoverridecount0\ls1}}{\info{\title PG&amp;E</w:t>
      </w:r>
      <w:r>
        <w:rPr>
          <w:rFonts w:eastAsia="Geneva" w:cs="Geneva" w:ascii="Geneva" w:hAnsi="Geneva"/>
          <w:strike/>
          <w:color w:val="000000"/>
          <w:sz w:val="24"/>
          <w:szCs w:val="24"/>
        </w:rPr>
        <w:t xml:space="preserve">s General Rate Case:  Lower Rates are Better for California Consumers}{\author Mona L Petrochko}{\operator Mona L Petrochko}{\creatim\yr1999\mo11\dy4\hr10\min55}{\revtim\yr1999\mo11\dy4\hr11\min51}{\version1}{\edmins56}{\nofpages2}{\nofwords894}{\nofchars5100}{\*\company Enron}{\nofcharsws6263}{\vern71}}\widowctrl\ftnbj\aenddoc\formshade\viewkind1\viewscale91\viewzk2\pgbrdrhead\pgbrdrfoot \fet0\sectd \linex0\endnhere\sectdefaultcl {\*\pnseclvl1\pnucrm\pnstart1\pnindent720\pnhang{\pntxta .}}{\*\pnseclvl2\pnucltr\pnstart1\pnindent720\pnhang{\pntxta .}}{\*\pnseclvl3\pndec\pnstart1\pnindent720\pnhang{\pntxta .}}{\*\pnseclvl4\pnlcltr\pnstart1\pnindent720\pnhang{\pntxta )}}{\*\pnseclvl5\pndec\pnstart1\pnindent720\pnhang{\pntxtb (}{\pntxta )}}{\*\pnseclvl6\pnlcltr\pnstart1\pnindent720\pnhang{\pntxtb (}{\pntxta )}}{\*\pnseclvl7\pnlcrm\pnstart1\pnindent720\pnhang{\pntxtb (}{\pntxta )}}{\*\pnseclvl8\pnlcltr\pnstart1\pnindent720\pnhang{\pntxtb (}{\pntxta )}}{\*\pnseclvl9\pnlcrm\pnstart1\pnindent720\pnhang{\pntxtb (}{\pntxta )}}\pard\plain \nowidctlpar\widctlpar\adjustright \fs20\cgrid {PG&amp;E\rquote s General Rate Case:  Lower Rates are Better for California Consumers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In December 1997, PG&amp;E filed to increase its gas and electric distribution annual revenues.  After several updates of their request, the final increase over 1996 frozen rate levels was a 33% increase annual in electric revenues of $686 million and a 45% annual increase in gas revenues of $377 million for a total annual increase $1.063 billion.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While PG&amp;E has sought significant revenue increases in the past, it is important to note that those increases were when PG&amp;E was a vertically integrated company providing transmission, generation, and distribution service.  This increase sought be PG&amp;E was only relative to their distribution company.  Many consumer groups were extremely vocal in opposition to PG&amp;E\rquote s proposal.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The judge assigned to the case has issued a proposed decision.  The judge recommends an annual increase in PG&amp;E\rquote s revenue requirement, relative to 1996 levels, of $180 million (9.4%) for electricity and $63 million (7.9%) for gas.  As PG&amp;E had already received interim distribution increases, per AB 1890, the increase in revenues for PG&amp;E relative to 1998 levels is approximately $20 million annually for electricity.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The judge did an incredible job reviewing all of the information that was part of a very complicated proceeding.  I urge your support of the proposed decision as drafted.  Do not allow PG&amp;E to increase your rates any more than is necessary to provide safe and reliable service.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Adoption of the proposed decision is important because: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{\pntext\pard\plain\fs20\cgrid \hich\af0\dbch\af0\loch\f0 1.\tab}}\pard \fi-360\li360\nowidctlpar\widctlpar\jclisttab\tx360{\*\pn \pnlvlbody\ilvl0\ls1\pnrnot0\pndec\pnstart1\pnindent360\pnhang{\pntxta .}}\ls1\adjustright {The increase in revenues sought by PG&amp;E has the affect of extending the rate freeze for longer than is necessary.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AB 1890 provided that a rate freeze would be in effect so that consumers rate would not rise while the utilities were recovering their stranded costs related to generation assets.  Rates are frozen at levels that are currently higher then what is needed for the utility to recover all of its costs of providing service.  The excess between the utilities\rquote  costs and the frozen rates goes to pay down stranded investments made by the utility.  The request made by PG&amp;E to increase its revenues, would shrink the amount available for stranded cost recovery and extend the period over which the utility would recover those costs.  Continuation of stranded cost recovery delays the onset of a more competitive electricity market in California, and the opportunity for lower rates.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{\pntext\pard\plain\fs20\cgrid \hich\af0\dbch\af0\loch\f0 2.\tab}}\pard \fi-360\li360\nowidctlpar\widctlpar\jclisttab\tx360{\*\pn \pnlvlbody\ilvl0\ls1\pnrnot0\pndec\pnstart1\pnindent360\pnhang{\pntxta .}}\ls1\adjustright { AB 1890 restructured the electricity market with the promise of lower rates, 20% lower than 1996 levels.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PG&amp;E\rquote s proposal, if adopted, would have delayed the onset of competition by extending the rate freeze.  In addition, PG&amp;E\rquote s proposal would result in higher distribution rates at the end of the rate freeze.  Such a proposal is not in keeping with the intent and spirit of AB 1890.  It also does not reflect prudent utility management of costs in a state that still has some of the highest rates in the country.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{\pntext\pard\plain\fs20\cgrid \hich\af0\dbch\af0\loch\f0 3.\tab}}\pard \fi-360\li360\nowidctlpar\widctlpar\jclisttab\tx360{\*\pn \pnlvlbody\ilvl0\ls1\pnrnot0\pndec\pnstart1\pnindent360\pnhang{\pntxta .}}\ls1\adjustright {PG&amp;E\rquote s motives for filing this increase are suspect.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The evidence in the case uncovered memoranda among senior officers and presentations made to the Board of Directors that cast doubt upon the true motives of the company in seeking this large increase.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In fact, some of those documents reveal a corporate objective in extending the rate freeze for the full statutory period.  One memo encourages the rate case management team to aim high in their request, because the CPUC is unlikely to grant their request.  Other motivations are to increase capital expenditures before the onset of competition.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Increased capital investment provides the utility with two benefits: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First, utilities receive a return based on their capital investments.  PG&amp;E was approaching the point where the depreciation and return of existing investments was shrinking.  The best way to offset that trend is to invest in new plant.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Second, if the utility can install facilities prior to the onset of competition and recover the cost in regulated rates, they may be able to stave off competition for the services that will be offered through those new facilities.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{\pntext\pard\plain\fs20\cgrid \hich\af0\dbch\af0\loch\f0 4.\tab}}\pard \fi-360\li360\nowidctlpar\widctlpar\jclisttab\tx360{\*\pn \pnlvlbody\ilvl0\ls1\pnrnot0\pndec\pnstart1\pnindent360\pnhang{\pntxta .}}\ls1\adjustright {PG&amp;E claims it needs its increase to continue providing safe, reliable service.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PG&amp;E proposed significant increases in its cost to operate, maintain and install new facilities across its system.  PG&amp;E claims that this is in response to consumer demands.  While PG&amp;E had only anecdotal evidence of such demands, they had no support about what consumers were willing to pay for that increased reliability.  In fact, evidence was produced that indicated that customers, by and large, were not willing to pay anything more for increased reliability, much less pay the increases sought by PG&amp;E.  In addition, PG&amp;E could not provide any evidence that such increased investments would substantially reduce the number or duration of outages currently experienced on their system.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{\pntext\pard\plain\fs20\cgrid \hich\af0\dbch\af0\loch\f0 5.\tab}}\pard \fi-360\li360\nowidctlpar\widctlpar\jclisttab\tx360{\*\pn \pnlvlbody\ilvl0\ls1\pnrnot0\pndec\pnstart1\pnindent360\pnhang{\pntxta .}}\ls1\adjustright {The proposed decision does not diminish PG&amp;E\rquote s service quality.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PG&amp;E largely received the increases it sought in the areas of capital investment and operating and maintaining its system.  The areas where they received the largest disallowance were in areas that do not affect system reliability at all.  These areas include depreciation, administrative and general expenses (office support/supplies/salaries/pension and benefits) and common plant (buildings/computer systems).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{\pntext\pard\plain\fs20\cgrid \hich\af0\dbch\af0\loch\f0 6.\tab}}\pard \fi-360\li360\nowidctlpar\widctlpar\jclisttab\tx360{\*\pn \pnlvlbody\ilvl0\ls1\pnrnot0\pndec\pnstart1\pnindent360\pnhang{\pntxta .}}\ls1\adjustright {The battle of \ldblquote who pays\rdblquote  is yet to be decided.  Key to that discussion is getting the starting point correct.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}\pard \nowidctlpar\widctlpar\adjustright {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While there are still issues ahead that deal with how these costs will be allocated among customer groups, which is a highly contested issue, it is vitally important to get the starting point correct.  Customers should not pay a penny more than what is necessary for providing safe, adequate, reliable distribution service.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 xml:space="preserve">\par Please consider meeting with the California Public Utilities Commissioners.  President Bilas is assigned to this case.  If you wish to write a letter in support of the Proposed Decision, please send it to Commissioner Bilas and copy the other Commissioners (Hyatt, Wood, Duque and Neeper).  Your support is important to preventing PG&amp;E from overcharging you for service. </w:t>
      </w:r>
    </w:p>
    <w:p>
      <w:pPr>
        <w:pStyle w:val="Normal"/>
        <w:bidi w:val="0"/>
        <w:spacing w:lineRule="auto" w:line="240" w:before="0" w:after="0"/>
        <w:ind w:hanging="0" w:start="0" w:end="0"/>
        <w:jc w:val="start"/>
        <w:rPr>
          <w:rFonts w:ascii="Geneva" w:hAnsi="Geneva" w:eastAsia="Geneva" w:cs="Geneva"/>
          <w:strike/>
          <w:color w:val="000000"/>
          <w:sz w:val="24"/>
          <w:szCs w:val="24"/>
        </w:rPr>
      </w:pPr>
      <w:r>
        <w:rPr>
          <w:rFonts w:eastAsia="Geneva" w:cs="Geneva" w:ascii="Geneva" w:hAnsi="Geneva"/>
          <w:strike/>
          <w:color w:val="000000"/>
          <w:sz w:val="24"/>
          <w:szCs w:val="24"/>
        </w:rPr>
        <w:t>\par }}</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