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initionList"/>
        <w:spacing w:before="100" w:after="100"/>
        <w:rPr/>
      </w:pPr>
      <w:r>
        <w:rPr>
          <w:b/>
        </w:rPr>
        <w:t>MEMO/01/179</w:t>
      </w:r>
      <w:r>
        <w:rPr/>
        <w:t xml:space="preserve"> </w:t>
      </w:r>
    </w:p>
    <w:p>
      <w:pPr>
        <w:pStyle w:val="DefinitionList"/>
        <w:spacing w:before="100" w:after="100"/>
        <w:rPr/>
      </w:pPr>
      <w:r>
        <w:rPr/>
        <w:t xml:space="preserve">Bruxelles, le 15 mai 2001 </w:t>
      </w:r>
    </w:p>
    <w:p>
      <w:pPr>
        <w:pStyle w:val="H3"/>
        <w:ind w:start="360" w:end="0"/>
        <w:rPr/>
      </w:pPr>
      <w:r>
        <w:rPr/>
        <w:t>Résultats du Conseil Energie du 14 mai 2001 (Gilles Gantelet)</w:t>
      </w:r>
    </w:p>
    <w:p>
      <w:pPr>
        <w:pStyle w:val="DefinitionList"/>
        <w:spacing w:before="100" w:after="100"/>
        <w:rPr/>
      </w:pPr>
      <w:r>
        <w:rPr/>
        <w:t xml:space="preserve">Les travaux du Conseil Energie ont eu lieu le 14 mai 2001 à 10H00. Les principaux résultats sont les suivants : </w:t>
      </w:r>
    </w:p>
    <w:p>
      <w:pPr>
        <w:pStyle w:val="DefinitionList"/>
        <w:spacing w:before="100" w:after="100"/>
        <w:rPr/>
      </w:pPr>
      <w:r>
        <w:rPr>
          <w:b/>
        </w:rPr>
        <w:t>Livre vert Vers une stratégie européenne de sécurité d'approvisionnement énergétique (COM/2000/769) (IP/00/ 1115)</w:t>
      </w:r>
      <w:r>
        <w:rPr/>
        <w:t xml:space="preserve"> </w:t>
      </w:r>
    </w:p>
    <w:p>
      <w:pPr>
        <w:pStyle w:val="DefinitionList"/>
        <w:spacing w:before="100" w:after="100"/>
        <w:rPr/>
      </w:pPr>
      <w:r>
        <w:rPr/>
        <w:t xml:space="preserve">Suite à la présentation par la Commission du Livre vert, le Conseil a adopté des conclusions qui soulignent notamment : </w:t>
      </w:r>
    </w:p>
    <w:p>
      <w:pPr>
        <w:pStyle w:val="DefinitionList"/>
        <w:numPr>
          <w:ilvl w:val="0"/>
          <w:numId w:val="2"/>
        </w:numPr>
        <w:spacing w:before="100" w:after="100"/>
        <w:rPr/>
      </w:pPr>
      <w:r>
        <w:rPr/>
        <w:t xml:space="preserve">la nécessité de maintenir un débat sur la stratégie à long terme de sécurité d'approvisionnement énergétique, qui devrait se concentrer simultanément sur l'offre et la demande. </w:t>
      </w:r>
    </w:p>
    <w:p>
      <w:pPr>
        <w:pStyle w:val="DefinitionList"/>
        <w:numPr>
          <w:ilvl w:val="0"/>
          <w:numId w:val="2"/>
        </w:numPr>
        <w:spacing w:before="100" w:after="100"/>
        <w:rPr/>
      </w:pPr>
      <w:r>
        <w:rPr/>
        <w:t xml:space="preserve">l'importance d'une gestion de la dépendance énergétique, en tenant compte en particulier de la contribution des sources d'énergie indigènes. </w:t>
      </w:r>
    </w:p>
    <w:p>
      <w:pPr>
        <w:pStyle w:val="DefinitionList"/>
        <w:numPr>
          <w:ilvl w:val="0"/>
          <w:numId w:val="2"/>
        </w:numPr>
        <w:spacing w:before="100" w:after="100"/>
        <w:rPr/>
      </w:pPr>
      <w:r>
        <w:rPr/>
        <w:t xml:space="preserve">le besoin de renforcer le dialogue avec les pays producteurs. </w:t>
      </w:r>
    </w:p>
    <w:p>
      <w:pPr>
        <w:pStyle w:val="DefinitionList"/>
        <w:spacing w:before="100" w:after="100"/>
        <w:rPr/>
      </w:pPr>
      <w:r>
        <w:rPr/>
        <w:t xml:space="preserve">Le Conseil a invité les formations compétentes du Conseil à faire un suivi plus particulier des questions touchant à la promotion de la Recherche et du développement des technologies en matière d'efficacité énergétique, le développement d'alternatives dans les modes de transport, infrastructures et carburants, ainsi que l'utilisation d'instruments fiscaux. </w:t>
      </w:r>
    </w:p>
    <w:p>
      <w:pPr>
        <w:pStyle w:val="DefinitionList"/>
        <w:spacing w:before="100" w:after="100"/>
        <w:rPr/>
      </w:pPr>
      <w:r>
        <w:rPr/>
        <w:t xml:space="preserve">Des conclusions plus complètes et détaillées devraient être adoptées en décembre 2001, sur base notamment du rapport que doit préparer la Commission pour l'automne sur les premiers résultats du débat qui se déroule actuellement à travers toute l'Europe. </w:t>
      </w:r>
    </w:p>
    <w:p>
      <w:pPr>
        <w:pStyle w:val="DefinitionList"/>
        <w:spacing w:before="100" w:after="100"/>
        <w:rPr/>
      </w:pPr>
      <w:r>
        <w:rPr>
          <w:b/>
        </w:rPr>
        <w:t>Marchés intérieurs de l'électricité et du gaz Achèvement du marché intérieur de l'énergie (COM/2001/125) (IP/01/356)</w:t>
      </w:r>
      <w:r>
        <w:rPr/>
        <w:t xml:space="preserve"> </w:t>
      </w:r>
    </w:p>
    <w:p>
      <w:pPr>
        <w:pStyle w:val="DefinitionList"/>
        <w:spacing w:before="100" w:after="100"/>
        <w:rPr/>
      </w:pPr>
      <w:r>
        <w:rPr/>
        <w:t xml:space="preserve">Le Conseil a eu un débat d'orientation général sur les principaux aspects de la Communication de la Commission et des deux propositions législatives qui l'accompagnent. Ces mesures envisagent l'ouverture complète des marchés du gaz et de l'électricité au profit du consommateur européen dès 2005 et visent à l'instauration d'un véritable marché unique énergétique, fondé sur une concurrence claire et transparente, des obligations de service public et la prévision d'investissements dans des infrastructures d'importance européenne. </w:t>
      </w:r>
    </w:p>
    <w:p>
      <w:pPr>
        <w:pStyle w:val="DefinitionList"/>
        <w:spacing w:before="100" w:after="100"/>
        <w:rPr/>
      </w:pPr>
      <w:r>
        <w:rPr/>
        <w:t xml:space="preserve">A l'issue de ce débat il est apparu que la grande majorité des Etats soutient les propositions de la Commission. </w:t>
      </w:r>
    </w:p>
    <w:p>
      <w:pPr>
        <w:pStyle w:val="DefinitionList"/>
        <w:spacing w:before="100" w:after="100"/>
        <w:rPr/>
      </w:pPr>
      <w:r>
        <w:rPr/>
        <w:t xml:space="preserve">La présidence a décidé de se coordonner avec les deux prochaines présidences pour élaborer une méthode de travail qui permette une étude accélérée du contenu des propositions. Un calendrier raisonnable permettrait une position du Conseil européen à Barcelone au printemps 2002. </w:t>
      </w:r>
    </w:p>
    <w:p>
      <w:pPr>
        <w:pStyle w:val="DefinitionList"/>
        <w:spacing w:before="100" w:after="100"/>
        <w:rPr/>
      </w:pPr>
      <w:r>
        <w:rPr/>
        <w:t xml:space="preserve">Pour rappel, la procédure de co-décision s'applique et le Conseil, pour sa part, doit voter à la majorité qualifiée. </w:t>
      </w:r>
    </w:p>
    <w:p>
      <w:pPr>
        <w:pStyle w:val="DefinitionList"/>
        <w:spacing w:before="100" w:after="100"/>
        <w:rPr/>
      </w:pPr>
      <w:r>
        <w:rPr>
          <w:b/>
        </w:rPr>
        <w:t>Stratégie visant à intégrer les questions d'environnement et de développement durable dans la politique énergétique (doc. SEC (2001) 502)</w:t>
      </w:r>
      <w:r>
        <w:rPr/>
        <w:t xml:space="preserve"> </w:t>
      </w:r>
    </w:p>
    <w:p>
      <w:pPr>
        <w:pStyle w:val="DefinitionList"/>
        <w:spacing w:before="100" w:after="100"/>
        <w:rPr/>
      </w:pPr>
      <w:r>
        <w:rPr/>
        <w:t xml:space="preserve">Le Conseil a adopté une résolution suite au document de travail des services de la Commission du 21 mars 2001 : « Intégration des considérations relatives à l'environnement et au développement durable dans les politiques en matière d'énergie et de transport : rapport d'évaluation 2001 et mise en oeuvre des stratégies ». </w:t>
      </w:r>
    </w:p>
    <w:p>
      <w:pPr>
        <w:pStyle w:val="DefinitionList"/>
        <w:spacing w:before="100" w:after="100"/>
        <w:rPr/>
      </w:pPr>
      <w:r>
        <w:rPr/>
        <w:t xml:space="preserve">Cette résolution invite notamment la Commission à mener des études de suivi et proposer diverses mesures en faveur d'une plus grande efficacité énergétique. </w:t>
      </w:r>
    </w:p>
    <w:p>
      <w:pPr>
        <w:pStyle w:val="DefinitionList"/>
        <w:spacing w:before="100" w:after="100"/>
        <w:rPr/>
      </w:pPr>
      <w:r>
        <w:rPr/>
        <w:t xml:space="preserve">La Commission a pris note des nombreuses demandes du Conseil, auxquelles elle entend accorder toute son attention. Elle a cependant rappelé qu'elle se réservait le droit d'y donner suite en conformité aux règles du traité sur son droit d'initiative et en tenant compte des ressources budgétaires et humaines à sa disposition. </w:t>
      </w:r>
    </w:p>
    <w:p>
      <w:pPr>
        <w:pStyle w:val="DefinitionList"/>
        <w:spacing w:before="100" w:after="100"/>
        <w:rPr/>
      </w:pPr>
      <w:r>
        <w:rPr>
          <w:b/>
        </w:rPr>
        <w:t>Coopération régionale : Coopération euro-méditerranéenne et dimension septentrionale (COM/2001/126) (IP/01/425)</w:t>
      </w:r>
      <w:r>
        <w:rPr/>
        <w:t xml:space="preserve"> </w:t>
      </w:r>
    </w:p>
    <w:p>
      <w:pPr>
        <w:pStyle w:val="DefinitionList"/>
        <w:spacing w:before="100" w:after="100"/>
        <w:rPr/>
      </w:pPr>
      <w:r>
        <w:rPr/>
        <w:t xml:space="preserve">Le Conseil a pris note de la communication de la Commission sur le "Renforcement de la coopération euro-méditerranéenne dans les domaines du transport et de l'énergie" fixant les priorités d'action sur la période 2000-2006 dans le cadre de la relance du Processus de Barcelone, et a invité la Commission à accélérer la mise en oeuvre du plan d'action euroméditerranéen. </w:t>
      </w:r>
    </w:p>
    <w:p>
      <w:pPr>
        <w:pStyle w:val="DefinitionList"/>
        <w:spacing w:before="100" w:after="100"/>
        <w:rPr/>
      </w:pPr>
      <w:r>
        <w:rPr/>
        <w:t xml:space="preserve">Le Conseil a également pris note du document de travail sur la dimension septentrionale dans le domaine de l'énergie. </w:t>
      </w:r>
    </w:p>
    <w:p>
      <w:pPr>
        <w:pStyle w:val="DefinitionList"/>
        <w:spacing w:before="100" w:after="100"/>
        <w:rPr/>
      </w:pPr>
      <w:r>
        <w:rPr>
          <w:b/>
        </w:rPr>
        <w:t>Proposition de directive sur l'efficacité énergétique des bâtiments (COM/2001/201) (IP/01/604)</w:t>
      </w:r>
      <w:r>
        <w:rPr/>
        <w:t xml:space="preserve"> </w:t>
      </w:r>
    </w:p>
    <w:p>
      <w:pPr>
        <w:pStyle w:val="DefinitionList"/>
        <w:spacing w:before="100" w:after="100"/>
        <w:rPr/>
      </w:pPr>
      <w:r>
        <w:rPr/>
        <w:t xml:space="preserve">La Commission a présenté son nouveau projet de directive visant à améliorer la performance énergétique des bâtiments neufs et des bâtiments existants dans l'Union européenne. La directive proposée fournit un cadre législatif précis pour limiter l'augmentation de la consommation d'énergie dans le secteur de la construction et contribue ainsi à l'intensification des efforts en vue de réaliser ce potentiel. La mise en œuvre de cette directive continuera de relever de la responsabilité individuelle de chaque Etat membre, conformément au principe de subsidiarité. </w:t>
      </w:r>
    </w:p>
    <w:p>
      <w:pPr>
        <w:pStyle w:val="DefinitionList"/>
        <w:spacing w:before="100" w:after="100"/>
        <w:rPr/>
      </w:pPr>
      <w:r>
        <w:rPr/>
        <w:t xml:space="preserve">Le Conseil a demandé à la Présidence belge d'accorder toute son attention à cette proposition d'importance. </w:t>
      </w:r>
    </w:p>
    <w:p>
      <w:pPr>
        <w:pStyle w:val="DefinitionList"/>
        <w:spacing w:before="100" w:after="100"/>
        <w:rPr/>
      </w:pPr>
      <w:r>
        <w:rPr>
          <w:b/>
        </w:rPr>
        <w:t>Traité sur la Charte de l'énergie</w:t>
      </w:r>
      <w:r>
        <w:rPr/>
        <w:t xml:space="preserve"> </w:t>
      </w:r>
    </w:p>
    <w:p>
      <w:pPr>
        <w:pStyle w:val="DefinitionList"/>
        <w:spacing w:before="100" w:after="100"/>
        <w:rPr/>
      </w:pPr>
      <w:r>
        <w:rPr/>
        <w:t xml:space="preserve">Le Conseil a pris note du rapport de la Commission qui met en évidence les progrès accomplis dans la négociation du protocole de transit et la perspective de la ratification du traité de la Charte de l'énergie par la Russie. Il a cependant regretté le retard de cette ratification. </w:t>
      </w:r>
    </w:p>
    <w:p>
      <w:pPr>
        <w:pStyle w:val="Normal"/>
        <w:rPr/>
      </w:pPr>
      <w:r>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itigateFrutigerBold">
    <w:charset w:val="00" w:characterSet="windows-125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3"/>
      <w:szCs w:val="20"/>
      <w:lang w:val="en-GB" w:eastAsia="zh-CN" w:bidi="hi-IN"/>
    </w:rPr>
  </w:style>
  <w:style w:type="paragraph" w:styleId="Heading1">
    <w:name w:val="heading 1"/>
    <w:next w:val="Normal"/>
    <w:qFormat/>
    <w:pPr>
      <w:keepNext w:val="true"/>
      <w:widowControl/>
      <w:numPr>
        <w:ilvl w:val="0"/>
        <w:numId w:val="1"/>
      </w:numPr>
      <w:bidi w:val="0"/>
      <w:spacing w:before="240" w:after="594"/>
      <w:outlineLvl w:val="0"/>
    </w:pPr>
    <w:rPr>
      <w:rFonts w:ascii="CitigateFrutigerBold" w:hAnsi="CitigateFrutigerBold" w:eastAsia="Times New Roman" w:cs="CitigateFrutigerBold"/>
      <w:color w:val="FFFFFF"/>
      <w:kern w:val="2"/>
      <w:sz w:val="28"/>
      <w:szCs w:val="20"/>
      <w:lang w:val="en-CA" w:eastAsia="zh-CN" w:bidi="hi-IN"/>
    </w:rPr>
  </w:style>
  <w:style w:type="paragraph" w:styleId="Heading2">
    <w:name w:val="heading 2"/>
    <w:next w:val="Normal"/>
    <w:qFormat/>
    <w:pPr>
      <w:keepNext w:val="true"/>
      <w:widowControl/>
      <w:numPr>
        <w:ilvl w:val="1"/>
        <w:numId w:val="1"/>
      </w:numPr>
      <w:bidi w:val="0"/>
      <w:spacing w:before="120" w:after="60"/>
      <w:outlineLvl w:val="1"/>
    </w:pPr>
    <w:rPr>
      <w:rFonts w:ascii="CitigateFrutigerBold" w:hAnsi="CitigateFrutigerBold" w:eastAsia="Times New Roman" w:cs="CitigateFrutigerBold"/>
      <w:color w:val="800000"/>
      <w:sz w:val="24"/>
      <w:szCs w:val="20"/>
      <w:lang w:val="en-CA" w:eastAsia="zh-CN" w:bidi="hi-IN"/>
    </w:rPr>
  </w:style>
  <w:style w:type="paragraph" w:styleId="Heading3">
    <w:name w:val="heading 3"/>
    <w:basedOn w:val="Normal"/>
    <w:next w:val="Normal"/>
    <w:qFormat/>
    <w:pPr>
      <w:keepNext w:val="true"/>
      <w:numPr>
        <w:ilvl w:val="2"/>
        <w:numId w:val="1"/>
      </w:numPr>
      <w:spacing w:before="120" w:after="60"/>
      <w:outlineLvl w:val="2"/>
    </w:pPr>
    <w:rPr>
      <w:b/>
      <w:i/>
      <w:sz w:val="24"/>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List">
    <w:name w:val="Definition List"/>
    <w:basedOn w:val="Normal"/>
    <w:next w:val="Normal"/>
    <w:qFormat/>
    <w:pPr>
      <w:ind w:hanging="0" w:start="360" w:end="0"/>
    </w:pPr>
    <w:rPr>
      <w:sz w:val="24"/>
      <w:lang w:eastAsia="en-US"/>
    </w:rPr>
  </w:style>
  <w:style w:type="paragraph" w:styleId="H3">
    <w:name w:val="H3"/>
    <w:basedOn w:val="Normal"/>
    <w:next w:val="Normal"/>
    <w:qFormat/>
    <w:pPr>
      <w:keepNext w:val="true"/>
      <w:spacing w:before="100" w:after="100"/>
      <w:outlineLvl w:val="3"/>
    </w:pPr>
    <w:rPr>
      <w:b/>
      <w:sz w:val="28"/>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2001-05-15T09:45:00Z</dcterms:created>
  <dc:creator>Amaia Betelu Bazo</dc:creator>
  <dc:description/>
  <dc:language>en-CA</dc:language>
  <cp:lastModifiedBy>Amaia Betelu Bazo</cp:lastModifiedBy>
  <dcterms:modified xsi:type="dcterms:W3CDTF">2001-05-15T09:53:00Z</dcterms:modified>
  <cp:revision>1</cp:revision>
  <dc:subject/>
  <dc:title>MEMO/01/179 </dc:title>
</cp:coreProperties>
</file>