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Louise Kitchen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Barry Tycholiz</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West Gas Origination</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 xml:space="preserve">Deal Summary </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October 1, 2001</w:t>
            </w:r>
          </w:p>
        </w:tc>
      </w:tr>
    </w:tbl>
    <w:p>
      <w:pPr>
        <w:pStyle w:val="Body"/>
        <w:rPr/>
      </w:pPr>
      <w:r>
        <w:rPr/>
      </w:r>
      <w:bookmarkStart w:id="1" w:name="StartOfMemo"/>
      <w:bookmarkStart w:id="2" w:name="StartOfMemo"/>
      <w:bookmarkEnd w:id="2"/>
    </w:p>
    <w:p>
      <w:pPr>
        <w:pStyle w:val="Body"/>
        <w:rPr/>
      </w:pPr>
      <w:r>
        <w:rPr/>
      </w:r>
    </w:p>
    <w:p>
      <w:pPr>
        <w:pStyle w:val="Body"/>
        <w:rPr/>
      </w:pPr>
      <w:r>
        <w:rPr/>
      </w:r>
    </w:p>
    <w:p>
      <w:pPr>
        <w:pStyle w:val="Body"/>
        <w:rPr/>
      </w:pPr>
      <w:r>
        <w:rPr/>
      </w:r>
    </w:p>
    <w:p>
      <w:pPr>
        <w:pStyle w:val="Body"/>
        <w:rPr/>
      </w:pPr>
      <w:r>
        <w:rPr/>
        <w:t xml:space="preserve">Louise, here is a brief summary of the two major deals structured in 2001. The cumulative value for ENA West Gas is close to $ 31,000,000 US. </w:t>
      </w:r>
    </w:p>
    <w:p>
      <w:pPr>
        <w:pStyle w:val="Body"/>
        <w:rPr/>
      </w:pPr>
      <w:r>
        <w:rPr/>
      </w:r>
    </w:p>
    <w:p>
      <w:pPr>
        <w:pStyle w:val="Body"/>
        <w:rPr/>
      </w:pPr>
      <w:r>
        <w:rPr/>
      </w:r>
    </w:p>
    <w:p>
      <w:pPr>
        <w:pStyle w:val="Body"/>
        <w:rPr/>
      </w:pPr>
      <w:r>
        <w:rPr/>
      </w:r>
    </w:p>
    <w:p>
      <w:pPr>
        <w:pStyle w:val="Body"/>
        <w:rPr/>
      </w:pPr>
      <w:r>
        <w:rPr/>
      </w:r>
    </w:p>
    <w:tbl>
      <w:tblPr>
        <w:tblW w:w="12006" w:type="dxa"/>
        <w:jc w:val="start"/>
        <w:tblInd w:w="72" w:type="dxa"/>
        <w:tblLayout w:type="fixed"/>
        <w:tblCellMar>
          <w:top w:w="0" w:type="dxa"/>
          <w:start w:w="108" w:type="dxa"/>
          <w:bottom w:w="0" w:type="dxa"/>
          <w:end w:w="108" w:type="dxa"/>
        </w:tblCellMar>
      </w:tblPr>
      <w:tblGrid>
        <w:gridCol w:w="12006"/>
      </w:tblGrid>
      <w:tr>
        <w:trPr/>
        <w:tc>
          <w:tcPr>
            <w:tcW w:w="12006" w:type="dxa"/>
            <w:tcBorders>
              <w:top w:val="single" w:sz="4" w:space="0" w:color="000000"/>
              <w:start w:val="single" w:sz="4" w:space="0" w:color="000000"/>
              <w:bottom w:val="single" w:sz="4" w:space="0" w:color="000000"/>
              <w:end w:val="single" w:sz="4" w:space="0" w:color="000000"/>
            </w:tcBorders>
          </w:tcPr>
          <w:p>
            <w:pPr>
              <w:pStyle w:val="Body"/>
              <w:ind w:start="0" w:end="0"/>
              <w:rPr>
                <w:b/>
                <w:bCs/>
                <w:u w:val="single"/>
              </w:rPr>
            </w:pPr>
            <w:r>
              <w:rPr>
                <w:b/>
                <w:bCs/>
                <w:u w:val="single"/>
              </w:rPr>
              <w:t>1. Long Term PGT Assignment to Sierra Pacific Power: $ 3.2 MM ( ECC also booked $ 3.2 MM)</w:t>
            </w:r>
          </w:p>
        </w:tc>
      </w:tr>
      <w:tr>
        <w:trPr/>
        <w:tc>
          <w:tcPr>
            <w:tcW w:w="12006" w:type="dxa"/>
            <w:tcBorders>
              <w:top w:val="single" w:sz="4" w:space="0" w:color="000000"/>
              <w:start w:val="single" w:sz="4" w:space="0" w:color="000000"/>
              <w:bottom w:val="single" w:sz="4" w:space="0" w:color="000000"/>
              <w:end w:val="single" w:sz="4" w:space="0" w:color="000000"/>
            </w:tcBorders>
          </w:tcPr>
          <w:p>
            <w:pPr>
              <w:pStyle w:val="Body"/>
              <w:snapToGrid w:val="false"/>
              <w:rPr>
                <w:b/>
                <w:bCs/>
                <w:u w:val="single"/>
              </w:rPr>
            </w:pPr>
            <w:r>
              <w:rPr>
                <w:b/>
                <w:bCs/>
                <w:u w:val="single"/>
              </w:rPr>
            </w:r>
          </w:p>
          <w:p>
            <w:pPr>
              <w:pStyle w:val="Body"/>
              <w:rPr/>
            </w:pPr>
            <w:r>
              <w:rPr/>
              <w:t xml:space="preserve">Sierra Pacific is a Nevada based utility who was in the market to secure long term transportation to serve their retail LDC service territory.  ENA and ECC were able to combine two pieces of PGT capacity ( Part 1, Shell and Part 2, ENA Trading)  and release this as a bundled product.  </w:t>
            </w:r>
          </w:p>
          <w:p>
            <w:pPr>
              <w:pStyle w:val="Body"/>
              <w:rPr/>
            </w:pPr>
            <w:r>
              <w:rPr/>
            </w:r>
          </w:p>
          <w:p>
            <w:pPr>
              <w:pStyle w:val="Body"/>
              <w:rPr/>
            </w:pPr>
            <w:r>
              <w:rPr/>
              <w:t xml:space="preserve">Origination was booked because of some of the load factor, logistical issues related to this deal that we charged Shell to mitigate. We passed through all of these risks to SPPC and transferred ENA’s risks over to SPPC on a permanent basis. Origination was booked in 3 forms. Payment from Shell$ 1.9 for facilitating and removing their risk. $ 2.1MM by hedging the transport we kept for the first year and selling this back to the desk. ( which they hedged ), and removal of the back end of the position / risk from the desk (prudency) that was booked against any tariff escalation. Once this risk was removed, the prudency was released. $ 2.2 MM. </w:t>
            </w:r>
          </w:p>
          <w:p>
            <w:pPr>
              <w:pStyle w:val="Body"/>
              <w:rPr/>
            </w:pPr>
            <w:r>
              <w:rPr/>
            </w:r>
          </w:p>
          <w:p>
            <w:pPr>
              <w:pStyle w:val="Body"/>
              <w:rPr/>
            </w:pPr>
            <w:r>
              <w:rPr/>
              <w:t xml:space="preserve">ENA incurred no credit exposure with the Utility, pipeline or third party.   </w:t>
            </w:r>
          </w:p>
          <w:p>
            <w:pPr>
              <w:pStyle w:val="Body"/>
              <w:rPr/>
            </w:pPr>
            <w:r>
              <w:rPr/>
            </w:r>
          </w:p>
        </w:tc>
      </w:tr>
      <w:tr>
        <w:trPr/>
        <w:tc>
          <w:tcPr>
            <w:tcW w:w="12006" w:type="dxa"/>
            <w:tcBorders>
              <w:top w:val="single" w:sz="4" w:space="0" w:color="000000"/>
              <w:start w:val="single" w:sz="4" w:space="0" w:color="000000"/>
              <w:bottom w:val="single" w:sz="4" w:space="0" w:color="000000"/>
              <w:end w:val="single" w:sz="4" w:space="0" w:color="000000"/>
            </w:tcBorders>
          </w:tcPr>
          <w:p>
            <w:pPr>
              <w:pStyle w:val="Body"/>
              <w:ind w:start="0" w:end="0"/>
              <w:rPr>
                <w:b/>
                <w:bCs/>
                <w:u w:val="single"/>
              </w:rPr>
            </w:pPr>
            <w:r>
              <w:rPr>
                <w:b/>
                <w:bCs/>
                <w:u w:val="single"/>
              </w:rPr>
              <w:t xml:space="preserve">2. Transportation Syndication – KERN Emergency Capacity Release: $ 28.5 MM </w:t>
            </w:r>
          </w:p>
        </w:tc>
      </w:tr>
      <w:tr>
        <w:trPr/>
        <w:tc>
          <w:tcPr>
            <w:tcW w:w="12006" w:type="dxa"/>
            <w:tcBorders>
              <w:top w:val="single" w:sz="4" w:space="0" w:color="000000"/>
              <w:start w:val="single" w:sz="4" w:space="0" w:color="000000"/>
              <w:bottom w:val="single" w:sz="4" w:space="0" w:color="000000"/>
              <w:end w:val="single" w:sz="4" w:space="0" w:color="000000"/>
            </w:tcBorders>
          </w:tcPr>
          <w:p>
            <w:pPr>
              <w:pStyle w:val="Body"/>
              <w:snapToGrid w:val="false"/>
              <w:ind w:start="0" w:end="0"/>
              <w:rPr/>
            </w:pPr>
            <w:r>
              <w:rPr/>
            </w:r>
          </w:p>
          <w:p>
            <w:pPr>
              <w:pStyle w:val="Body"/>
              <w:ind w:start="0" w:end="0"/>
              <w:rPr/>
            </w:pPr>
            <w:r>
              <w:rPr/>
              <w:t>In March of 2001. Kern River announced an EMERGENCY open season for short term capacity ( 9 months – 1.5 years) to provide gas relief to the State of California.</w:t>
            </w:r>
          </w:p>
          <w:p>
            <w:pPr>
              <w:pStyle w:val="Body"/>
              <w:ind w:start="0" w:end="0"/>
              <w:rPr/>
            </w:pPr>
            <w:r>
              <w:rPr/>
            </w:r>
          </w:p>
          <w:p>
            <w:pPr>
              <w:pStyle w:val="Body"/>
              <w:ind w:start="0" w:end="0"/>
              <w:rPr/>
            </w:pPr>
            <w:r>
              <w:rPr/>
              <w:t xml:space="preserve">There were a lot of rules regarding who could sign up for this co. but the most important one was that only ONE affiliate co. could submit a request for this capacity.  As such, ENA could only get one block.  Open season closed in 1 week. </w:t>
            </w:r>
          </w:p>
          <w:p>
            <w:pPr>
              <w:pStyle w:val="Body"/>
              <w:ind w:start="0" w:end="0"/>
              <w:rPr/>
            </w:pPr>
            <w:r>
              <w:rPr/>
            </w:r>
          </w:p>
          <w:p>
            <w:pPr>
              <w:pStyle w:val="Body"/>
              <w:ind w:start="0" w:end="0"/>
              <w:rPr/>
            </w:pPr>
            <w:r>
              <w:rPr/>
              <w:t xml:space="preserve">West Gas origination immediately created a marketing plan, syndicated 7 other shippers to go in and request capacity and if this capacity passed FERC orders etc we would pay them a fee.  The fee was created to be a percentage of the hedge value once all the rules were cleared and the pipe was assigned to us.  122,000 MMBtu/d of capacity was awarded in equal parts of approx 3000 MMbtu/d. There were 39 bidders of which ENA was behind 7 ( 18%).   </w:t>
            </w:r>
          </w:p>
          <w:p>
            <w:pPr>
              <w:pStyle w:val="Body"/>
              <w:ind w:start="0" w:end="0"/>
              <w:rPr/>
            </w:pPr>
            <w:r>
              <w:rPr/>
            </w:r>
          </w:p>
          <w:p>
            <w:pPr>
              <w:pStyle w:val="Body"/>
              <w:ind w:start="0" w:end="0"/>
              <w:rPr/>
            </w:pPr>
            <w:r>
              <w:rPr/>
              <w:t>Once capacity was awarded, assigned, ENA coordinated the hedges including laying off the physical flow risk ( most important part ) to Sierra Pacific who uses the gas for electric generation in Las Vegas.  We sold this gas to them at a term discount, hedged all the spreads and locked in $ 25 MM. The balance of the money was created once more definitive flow dates occurred… In total the co’s who assisted in this syndication were paid about $ 975,000/Shipper..</w:t>
            </w:r>
          </w:p>
          <w:p>
            <w:pPr>
              <w:pStyle w:val="Body"/>
              <w:ind w:start="0" w:end="0"/>
              <w:rPr/>
            </w:pPr>
            <w:r>
              <w:rPr/>
            </w:r>
          </w:p>
          <w:p>
            <w:pPr>
              <w:pStyle w:val="Body"/>
              <w:ind w:start="0" w:end="0"/>
              <w:rPr/>
            </w:pPr>
            <w:r>
              <w:rPr/>
              <w:t xml:space="preserve">BT </w:t>
            </w:r>
          </w:p>
        </w:tc>
      </w:tr>
    </w:tbl>
    <w:p>
      <w:pPr>
        <w:pStyle w:val="Body"/>
        <w:rPr/>
      </w:pPr>
      <w:r>
        <w:rPr/>
      </w:r>
    </w:p>
    <w:p>
      <w:pPr>
        <w:pStyle w:val="Body"/>
        <w:rPr/>
      </w:pPr>
      <w:r>
        <w:rPr/>
      </w:r>
    </w:p>
    <w:p>
      <w:pPr>
        <w:pStyle w:val="Body"/>
        <w:rPr/>
      </w:pPr>
      <w:r>
        <w:rPr/>
      </w:r>
    </w:p>
    <w:p>
      <w:pPr>
        <w:pStyle w:val="Body"/>
        <w:rPr/>
      </w:pPr>
      <w:r>
        <w:rPr/>
      </w:r>
    </w:p>
    <w:p>
      <w:pPr>
        <w:pStyle w:val="CopyList"/>
        <w:ind w:hanging="0" w:start="0" w:end="0"/>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2001-10-01T17:01:00Z</dcterms:created>
  <dc:creator>btychol</dc:creator>
  <dc:description/>
  <dc:language>en-CA</dc:language>
  <cp:lastModifiedBy>btychol</cp:lastModifiedBy>
  <cp:lastPrinted>2001-05-30T08:39:00Z</cp:lastPrinted>
  <dcterms:modified xsi:type="dcterms:W3CDTF">2001-10-01T17:03:00Z</dcterms:modified>
  <cp:revision>3</cp:revision>
  <dc:subject/>
  <dc:title>Better, Faster, Simpler Memo </dc:title>
</cp:coreProperties>
</file>