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initionList"/>
        <w:spacing w:before="100" w:after="100"/>
        <w:rPr/>
      </w:pPr>
      <w:r>
        <w:rPr>
          <w:b/>
        </w:rPr>
        <w:t>MEMO/01/178</w:t>
      </w:r>
      <w:r>
        <w:rPr/>
        <w:t xml:space="preserve"> </w:t>
      </w:r>
    </w:p>
    <w:p>
      <w:pPr>
        <w:pStyle w:val="DefinitionList"/>
        <w:spacing w:before="100" w:after="100"/>
        <w:rPr/>
      </w:pPr>
      <w:r>
        <w:rPr/>
        <w:t xml:space="preserve">Brussels, 15 May 2001 </w:t>
      </w:r>
    </w:p>
    <w:p>
      <w:pPr>
        <w:pStyle w:val="H3"/>
        <w:ind w:start="360" w:end="0"/>
        <w:rPr/>
      </w:pPr>
      <w:r>
        <w:rPr/>
        <w:t>Background note on the EU Russia summit (</w:t>
      </w:r>
      <w:r>
        <w:rPr>
          <w:i/>
        </w:rPr>
        <w:t xml:space="preserve">Moscow, 17 May) </w:t>
      </w:r>
    </w:p>
    <w:p>
      <w:pPr>
        <w:pStyle w:val="DefinitionList"/>
        <w:spacing w:before="100" w:after="100"/>
        <w:rPr/>
      </w:pPr>
      <w:r>
        <w:rPr>
          <w:b/>
        </w:rPr>
        <w:t>General</w:t>
      </w:r>
      <w:r>
        <w:rPr/>
        <w:t xml:space="preserve"> </w:t>
      </w:r>
    </w:p>
    <w:p>
      <w:pPr>
        <w:pStyle w:val="DefinitionList"/>
        <w:spacing w:before="100" w:after="100"/>
        <w:rPr/>
      </w:pPr>
      <w:r>
        <w:rPr/>
        <w:t xml:space="preserve">President Vladimir Putin will host this seventh EU-Russia Summit under the Partnership and Co-operation Agreement (PCA). The European Union will be represented by the Prime Minister of Sweden, Mr Göran Persson and by the President of the European Commission, Mr Romano Prodi and assisted by the Secretary General/High Representative for Common Foreign and Security Policy, Mr Javier Solana. </w:t>
      </w:r>
    </w:p>
    <w:p>
      <w:pPr>
        <w:pStyle w:val="DefinitionList"/>
        <w:spacing w:before="100" w:after="100"/>
        <w:rPr/>
      </w:pPr>
      <w:r>
        <w:rPr/>
        <w:t xml:space="preserve">The Summit will be an opportunity to express at the highest levels the EU support for the reform process in Russia. At the same time, the EU will raise its concerns about the ongoing conflict in Chechnya and the situation of the media in Russia. </w:t>
      </w:r>
    </w:p>
    <w:p>
      <w:pPr>
        <w:pStyle w:val="DefinitionList"/>
        <w:spacing w:before="100" w:after="100"/>
        <w:rPr/>
      </w:pPr>
      <w:r>
        <w:rPr>
          <w:b/>
        </w:rPr>
        <w:t>The agenda</w:t>
      </w:r>
      <w:r>
        <w:rPr/>
        <w:t xml:space="preserve"> </w:t>
      </w:r>
    </w:p>
    <w:p>
      <w:pPr>
        <w:pStyle w:val="DefinitionList"/>
        <w:spacing w:before="100" w:after="100"/>
        <w:rPr/>
      </w:pPr>
      <w:r>
        <w:rPr/>
        <w:t xml:space="preserve">The agenda will focus on three items: developments in Russia and in the EU, EU-Russia co-operation and current international issues. </w:t>
      </w:r>
    </w:p>
    <w:p>
      <w:pPr>
        <w:pStyle w:val="DefinitionList"/>
        <w:spacing w:before="100" w:after="100"/>
        <w:rPr/>
      </w:pPr>
      <w:r>
        <w:rPr/>
        <w:t xml:space="preserve">The first sub-item under "developments in Russia and the EU" addresses </w:t>
      </w:r>
    </w:p>
    <w:p>
      <w:pPr>
        <w:pStyle w:val="DefinitionList"/>
        <w:numPr>
          <w:ilvl w:val="0"/>
          <w:numId w:val="2"/>
        </w:numPr>
        <w:spacing w:before="100" w:after="100"/>
        <w:rPr/>
      </w:pPr>
      <w:r>
        <w:rPr/>
        <w:t xml:space="preserve">the safeguarding of sustainable economic development in Russia; discussions will mainly focus on the reform process in Russia. </w:t>
      </w:r>
    </w:p>
    <w:p>
      <w:pPr>
        <w:pStyle w:val="DefinitionList"/>
        <w:spacing w:before="100" w:after="100"/>
        <w:rPr/>
      </w:pPr>
      <w:r>
        <w:rPr/>
        <w:t xml:space="preserve">Under the second sub-item internal developments and political reforms, including Northern Caucasus and civil society, </w:t>
      </w:r>
    </w:p>
    <w:p>
      <w:pPr>
        <w:pStyle w:val="DefinitionList"/>
        <w:numPr>
          <w:ilvl w:val="0"/>
          <w:numId w:val="2"/>
        </w:numPr>
        <w:spacing w:before="100" w:after="100"/>
        <w:rPr/>
      </w:pPr>
      <w:r>
        <w:rPr/>
        <w:t xml:space="preserve">the EU will express its concerns about recent developments in the Russian media sector as well as about the situation in Chechnya, underlining the need for a rapid political settlement. It will also press for more progress in the human rights enquiries and for improvements in humanitarian aid deliveries to IDPs (Internally Displaced Persons). The EU will also underline again the importance of a rapid return of the OSCE Assistance Group to Chechnya </w:t>
      </w:r>
    </w:p>
    <w:p>
      <w:pPr>
        <w:pStyle w:val="DefinitionList"/>
        <w:spacing w:before="100" w:after="100"/>
        <w:rPr/>
      </w:pPr>
      <w:r>
        <w:rPr/>
        <w:t xml:space="preserve">Under the item internal developments in the EU, </w:t>
      </w:r>
    </w:p>
    <w:p>
      <w:pPr>
        <w:pStyle w:val="DefinitionList"/>
        <w:numPr>
          <w:ilvl w:val="0"/>
          <w:numId w:val="2"/>
        </w:numPr>
        <w:spacing w:before="100" w:after="100"/>
        <w:rPr/>
      </w:pPr>
      <w:r>
        <w:rPr/>
        <w:t xml:space="preserve">the Union will inform the Russians on the state of play regarding CESDP and EU enlargement. </w:t>
      </w:r>
    </w:p>
    <w:p>
      <w:pPr>
        <w:pStyle w:val="DefinitionList"/>
        <w:spacing w:before="100" w:after="100"/>
        <w:rPr/>
      </w:pPr>
      <w:r>
        <w:rPr/>
        <w:t xml:space="preserve">Under the item EU-Russia Co-operation, seven sub-items will be addressed. </w:t>
      </w:r>
    </w:p>
    <w:p>
      <w:pPr>
        <w:pStyle w:val="DefinitionList"/>
        <w:numPr>
          <w:ilvl w:val="0"/>
          <w:numId w:val="2"/>
        </w:numPr>
        <w:spacing w:before="100" w:after="100"/>
        <w:rPr/>
      </w:pPr>
      <w:r>
        <w:rPr/>
        <w:t xml:space="preserve">the two sides will discuss the follow-up to the Paris Declaration on Security policy dialogue and co-operation in the framework of the EU's approach to third country co-operation in EDSP. </w:t>
      </w:r>
    </w:p>
    <w:p>
      <w:pPr>
        <w:pStyle w:val="DefinitionList"/>
        <w:numPr>
          <w:ilvl w:val="0"/>
          <w:numId w:val="2"/>
        </w:numPr>
        <w:spacing w:before="100" w:after="100"/>
        <w:rPr/>
      </w:pPr>
      <w:r>
        <w:rPr/>
        <w:t xml:space="preserve">Trade and investment co-operation will be dealt with, including Russia's WTO accession as well as open specific trade issues. </w:t>
      </w:r>
    </w:p>
    <w:p>
      <w:pPr>
        <w:pStyle w:val="DefinitionList"/>
        <w:numPr>
          <w:ilvl w:val="0"/>
          <w:numId w:val="2"/>
        </w:numPr>
        <w:spacing w:before="100" w:after="100"/>
        <w:rPr/>
      </w:pPr>
      <w:r>
        <w:rPr/>
        <w:t xml:space="preserve">The Summit will also take stock of progress achieved in the EU-Russia energy dialogue. </w:t>
      </w:r>
    </w:p>
    <w:p>
      <w:pPr>
        <w:pStyle w:val="DefinitionList"/>
        <w:numPr>
          <w:ilvl w:val="0"/>
          <w:numId w:val="2"/>
        </w:numPr>
        <w:spacing w:before="100" w:after="100"/>
        <w:rPr/>
      </w:pPr>
      <w:r>
        <w:rPr/>
        <w:t xml:space="preserve">The question of Kaliningrad will be discussed. </w:t>
      </w:r>
    </w:p>
    <w:p>
      <w:pPr>
        <w:pStyle w:val="DefinitionList"/>
        <w:numPr>
          <w:ilvl w:val="0"/>
          <w:numId w:val="2"/>
        </w:numPr>
        <w:spacing w:before="100" w:after="100"/>
        <w:rPr/>
      </w:pPr>
      <w:r>
        <w:rPr/>
        <w:t xml:space="preserve">The Summit will also deal with co-operation in Justice and Home Affairs, notably the implementation of the Action Plan on combating organised crime. </w:t>
      </w:r>
    </w:p>
    <w:p>
      <w:pPr>
        <w:pStyle w:val="DefinitionList"/>
        <w:numPr>
          <w:ilvl w:val="0"/>
          <w:numId w:val="2"/>
        </w:numPr>
        <w:spacing w:before="100" w:after="100"/>
        <w:rPr/>
      </w:pPr>
      <w:r>
        <w:rPr/>
        <w:t xml:space="preserve">When dealing with environment and nuclear safety, the EU will aim at an agreement on the outstanding issues holding up the MNEPR agreement. </w:t>
      </w:r>
    </w:p>
    <w:p>
      <w:pPr>
        <w:pStyle w:val="DefinitionList"/>
        <w:numPr>
          <w:ilvl w:val="0"/>
          <w:numId w:val="2"/>
        </w:numPr>
        <w:spacing w:before="100" w:after="100"/>
        <w:rPr/>
      </w:pPr>
      <w:r>
        <w:rPr/>
        <w:t xml:space="preserve">Co-operation in the field of science and technology will also be discussed. </w:t>
      </w:r>
    </w:p>
    <w:p>
      <w:pPr>
        <w:pStyle w:val="DefinitionList"/>
        <w:spacing w:before="100" w:after="100"/>
        <w:rPr/>
      </w:pPr>
      <w:r>
        <w:rPr/>
        <w:t xml:space="preserve">Under the last item, current international issues, the Summit will address </w:t>
      </w:r>
    </w:p>
    <w:p>
      <w:pPr>
        <w:pStyle w:val="DefinitionList"/>
        <w:numPr>
          <w:ilvl w:val="0"/>
          <w:numId w:val="2"/>
        </w:numPr>
        <w:spacing w:before="100" w:after="100"/>
        <w:rPr/>
      </w:pPr>
      <w:r>
        <w:rPr/>
        <w:t xml:space="preserve">the Middle East Peace Process, </w:t>
      </w:r>
    </w:p>
    <w:p>
      <w:pPr>
        <w:pStyle w:val="DefinitionList"/>
        <w:numPr>
          <w:ilvl w:val="0"/>
          <w:numId w:val="2"/>
        </w:numPr>
        <w:spacing w:before="100" w:after="100"/>
        <w:rPr/>
      </w:pPr>
      <w:r>
        <w:rPr/>
        <w:t xml:space="preserve">the Korean Peninsula, </w:t>
      </w:r>
    </w:p>
    <w:p>
      <w:pPr>
        <w:pStyle w:val="DefinitionList"/>
        <w:numPr>
          <w:ilvl w:val="0"/>
          <w:numId w:val="2"/>
        </w:numPr>
        <w:spacing w:before="100" w:after="100"/>
        <w:rPr/>
      </w:pPr>
      <w:r>
        <w:rPr/>
        <w:t xml:space="preserve">Western Balkans and </w:t>
      </w:r>
    </w:p>
    <w:p>
      <w:pPr>
        <w:pStyle w:val="DefinitionList"/>
        <w:numPr>
          <w:ilvl w:val="0"/>
          <w:numId w:val="2"/>
        </w:numPr>
        <w:spacing w:before="100" w:after="100"/>
        <w:rPr/>
      </w:pPr>
      <w:r>
        <w:rPr/>
        <w:t xml:space="preserve">Belarus. </w:t>
      </w:r>
    </w:p>
    <w:p>
      <w:pPr>
        <w:pStyle w:val="DefinitionList"/>
        <w:spacing w:before="100" w:after="100"/>
        <w:rPr/>
      </w:pPr>
      <w:r>
        <w:rPr/>
        <w:t xml:space="preserve">As in the past, the Summit will consist of a plenary, a working lunch and a press conference. A joint press statement is being negotiated with the Russians. </w:t>
      </w:r>
    </w:p>
    <w:p>
      <w:pPr>
        <w:pStyle w:val="DefinitionList"/>
        <w:spacing w:before="100" w:after="100"/>
        <w:rPr/>
      </w:pPr>
      <w:r>
        <w:rPr>
          <w:b/>
        </w:rPr>
        <w:t>a) Draft agenda</w:t>
      </w:r>
      <w:r>
        <w:rPr/>
        <w:t xml:space="preserve"> </w:t>
      </w:r>
    </w:p>
    <w:p>
      <w:pPr>
        <w:pStyle w:val="DefinitionList"/>
        <w:spacing w:before="100" w:after="100"/>
        <w:rPr>
          <w:b/>
        </w:rPr>
      </w:pPr>
      <w:r>
        <w:rPr>
          <w:b/>
        </w:rPr>
        <w:t xml:space="preserve">1. Developments in the Russian Federation and in the EU </w:t>
      </w:r>
    </w:p>
    <w:p>
      <w:pPr>
        <w:pStyle w:val="DefinitionList"/>
        <w:numPr>
          <w:ilvl w:val="0"/>
          <w:numId w:val="2"/>
        </w:numPr>
        <w:spacing w:before="100" w:after="100"/>
        <w:rPr/>
      </w:pPr>
      <w:r>
        <w:rPr/>
        <w:t xml:space="preserve">Russian Federation: </w:t>
      </w:r>
    </w:p>
    <w:p>
      <w:pPr>
        <w:pStyle w:val="DefinitionList"/>
        <w:spacing w:before="100" w:after="100"/>
        <w:rPr/>
      </w:pPr>
      <w:r>
        <w:rPr/>
        <w:t xml:space="preserve">1.1 Safeguarding of sustainable economic development </w:t>
      </w:r>
    </w:p>
    <w:p>
      <w:pPr>
        <w:pStyle w:val="DefinitionList"/>
        <w:spacing w:before="100" w:after="100"/>
        <w:ind w:start="720" w:end="0"/>
        <w:rPr/>
      </w:pPr>
      <w:r>
        <w:rPr/>
        <w:t xml:space="preserve">1.2 Internal developments and political reform, including Northern Caucasus and civil society </w:t>
      </w:r>
    </w:p>
    <w:p>
      <w:pPr>
        <w:pStyle w:val="DefinitionList"/>
        <w:spacing w:before="100" w:after="100"/>
        <w:rPr/>
      </w:pPr>
      <w:r>
        <w:rPr/>
        <w:t xml:space="preserve">European Union: </w:t>
      </w:r>
    </w:p>
    <w:p>
      <w:pPr>
        <w:pStyle w:val="DefinitionList"/>
        <w:spacing w:before="100" w:after="100"/>
        <w:ind w:start="720" w:end="0"/>
        <w:rPr/>
      </w:pPr>
      <w:r>
        <w:rPr/>
        <w:t xml:space="preserve">1.3 Role of the EU in the world economy </w:t>
      </w:r>
    </w:p>
    <w:p>
      <w:pPr>
        <w:pStyle w:val="DefinitionList"/>
        <w:spacing w:before="100" w:after="100"/>
        <w:ind w:start="720" w:end="0"/>
        <w:rPr/>
      </w:pPr>
      <w:r>
        <w:rPr/>
        <w:t xml:space="preserve">1.4 ESDP </w:t>
      </w:r>
    </w:p>
    <w:p>
      <w:pPr>
        <w:pStyle w:val="DefinitionList"/>
        <w:spacing w:before="100" w:after="100"/>
        <w:ind w:start="720" w:end="0"/>
        <w:rPr/>
      </w:pPr>
      <w:r>
        <w:rPr/>
        <w:t xml:space="preserve">1.5 Enlargement </w:t>
      </w:r>
    </w:p>
    <w:p>
      <w:pPr>
        <w:pStyle w:val="DefinitionList"/>
        <w:spacing w:before="100" w:after="100"/>
        <w:rPr>
          <w:b/>
        </w:rPr>
      </w:pPr>
      <w:r>
        <w:rPr>
          <w:b/>
        </w:rPr>
        <w:t xml:space="preserve">2. EU-Russia co-operation </w:t>
      </w:r>
    </w:p>
    <w:p>
      <w:pPr>
        <w:pStyle w:val="DefinitionList"/>
        <w:spacing w:before="100" w:after="100"/>
        <w:ind w:start="720" w:end="0"/>
        <w:rPr/>
      </w:pPr>
      <w:r>
        <w:rPr/>
        <w:t xml:space="preserve">2.1 Security policy dialogue and co-operation </w:t>
      </w:r>
    </w:p>
    <w:p>
      <w:pPr>
        <w:pStyle w:val="DefinitionList"/>
        <w:spacing w:before="100" w:after="100"/>
        <w:ind w:start="720" w:end="0"/>
        <w:rPr/>
      </w:pPr>
      <w:r>
        <w:rPr/>
        <w:t xml:space="preserve">2.2 Trade and investment co-operation </w:t>
      </w:r>
    </w:p>
    <w:p>
      <w:pPr>
        <w:pStyle w:val="DefinitionList"/>
        <w:spacing w:before="100" w:after="100"/>
        <w:ind w:start="720" w:end="0"/>
        <w:rPr/>
      </w:pPr>
      <w:r>
        <w:rPr/>
        <w:t xml:space="preserve">2.3 Energy dialogue </w:t>
      </w:r>
    </w:p>
    <w:p>
      <w:pPr>
        <w:pStyle w:val="DefinitionList"/>
        <w:spacing w:before="100" w:after="100"/>
        <w:ind w:start="720" w:end="0"/>
        <w:rPr/>
      </w:pPr>
      <w:r>
        <w:rPr/>
        <w:t>2.4 Kaliningrad</w:t>
      </w:r>
      <w:r>
        <w:rPr>
          <w:i/>
        </w:rPr>
        <w:t xml:space="preserve"> </w:t>
      </w:r>
    </w:p>
    <w:p>
      <w:pPr>
        <w:pStyle w:val="DefinitionList"/>
        <w:spacing w:before="100" w:after="100"/>
        <w:ind w:start="720" w:end="0"/>
        <w:rPr/>
      </w:pPr>
      <w:r>
        <w:rPr/>
        <w:t xml:space="preserve">2.5 Co-operation in Justice and Home Affairs </w:t>
      </w:r>
    </w:p>
    <w:p>
      <w:pPr>
        <w:pStyle w:val="DefinitionList"/>
        <w:spacing w:before="100" w:after="100"/>
        <w:ind w:start="720" w:end="0"/>
        <w:rPr/>
      </w:pPr>
      <w:r>
        <w:rPr/>
        <w:t xml:space="preserve">2.6 Environment and nuclear safety (MNEPR, Kyoto Protocol) </w:t>
      </w:r>
    </w:p>
    <w:p>
      <w:pPr>
        <w:pStyle w:val="DefinitionList"/>
        <w:spacing w:before="100" w:after="100"/>
        <w:ind w:start="720" w:end="0"/>
        <w:rPr/>
      </w:pPr>
      <w:r>
        <w:rPr/>
        <w:t xml:space="preserve">2.7 Co-operation in the field of science and technology </w:t>
      </w:r>
    </w:p>
    <w:p>
      <w:pPr>
        <w:pStyle w:val="DefinitionList"/>
        <w:spacing w:before="100" w:after="100"/>
        <w:rPr/>
      </w:pPr>
      <w:r>
        <w:rPr>
          <w:b/>
        </w:rPr>
        <w:t>3. International questions</w:t>
      </w:r>
      <w:r>
        <w:rPr/>
        <w:t xml:space="preserve"> </w:t>
      </w:r>
    </w:p>
    <w:p>
      <w:pPr>
        <w:pStyle w:val="DefinitionList"/>
        <w:spacing w:before="100" w:after="100"/>
        <w:ind w:start="720" w:end="0"/>
        <w:rPr/>
      </w:pPr>
      <w:r>
        <w:rPr/>
        <w:t xml:space="preserve">3.1 Middle East </w:t>
      </w:r>
    </w:p>
    <w:p>
      <w:pPr>
        <w:pStyle w:val="DefinitionList"/>
        <w:spacing w:before="100" w:after="100"/>
        <w:ind w:start="720" w:end="0"/>
        <w:rPr/>
      </w:pPr>
      <w:r>
        <w:rPr/>
        <w:t xml:space="preserve">3.2 Korean Peninsula </w:t>
      </w:r>
    </w:p>
    <w:p>
      <w:pPr>
        <w:pStyle w:val="DefinitionList"/>
        <w:spacing w:before="100" w:after="100"/>
        <w:ind w:start="720" w:end="0"/>
        <w:rPr/>
      </w:pPr>
      <w:r>
        <w:rPr/>
        <w:t xml:space="preserve">3.3 Western Balkans </w:t>
      </w:r>
    </w:p>
    <w:p>
      <w:pPr>
        <w:pStyle w:val="DefinitionList"/>
        <w:spacing w:before="100" w:after="100"/>
        <w:ind w:start="720" w:end="0"/>
        <w:rPr/>
      </w:pPr>
      <w:r>
        <w:rPr/>
        <w:t xml:space="preserve">3.4 Belarus </w:t>
      </w:r>
    </w:p>
    <w:p>
      <w:pPr>
        <w:pStyle w:val="DefinitionList"/>
        <w:spacing w:before="100" w:after="100"/>
        <w:rPr/>
      </w:pPr>
      <w:r>
        <w:rPr>
          <w:b/>
        </w:rPr>
        <w:t>More background to EU-Russia relations</w:t>
      </w:r>
      <w:r>
        <w:rPr/>
        <w:t xml:space="preserve"> </w:t>
      </w:r>
    </w:p>
    <w:p>
      <w:pPr>
        <w:pStyle w:val="DefinitionList"/>
        <w:spacing w:before="100" w:after="100"/>
        <w:rPr/>
      </w:pPr>
      <w:r>
        <w:rPr/>
        <w:t xml:space="preserve">The Partnership and Cooperation Agreement (PCA) was signed in 1994. The EU's Tacis programme of technical assistance is a key to the implementation of the PCA agreement. The main characteristics of the PCA are: </w:t>
      </w:r>
    </w:p>
    <w:p>
      <w:pPr>
        <w:pStyle w:val="DefinitionList"/>
        <w:spacing w:before="100" w:after="100"/>
        <w:rPr/>
      </w:pPr>
      <w:r>
        <w:rPr>
          <w:i/>
        </w:rPr>
        <w:t>Trade</w:t>
      </w:r>
      <w:r>
        <w:rPr/>
        <w:t xml:space="preserve">: Liberal, based on MFN treatment and the elimination of quantitative restrictions </w:t>
      </w:r>
    </w:p>
    <w:p>
      <w:pPr>
        <w:pStyle w:val="DefinitionList"/>
        <w:spacing w:before="100" w:after="100"/>
        <w:rPr/>
      </w:pPr>
      <w:r>
        <w:rPr>
          <w:i/>
        </w:rPr>
        <w:t>Political dialogue</w:t>
      </w:r>
      <w:r>
        <w:rPr/>
        <w:t xml:space="preserve">: Increased and institutionalised dialogue at all levels </w:t>
      </w:r>
    </w:p>
    <w:p>
      <w:pPr>
        <w:pStyle w:val="DefinitionList"/>
        <w:spacing w:before="100" w:after="100"/>
        <w:rPr/>
      </w:pPr>
      <w:r>
        <w:rPr>
          <w:i/>
        </w:rPr>
        <w:t>Economic and legislative co-operation</w:t>
      </w:r>
      <w:r>
        <w:rPr/>
        <w:t xml:space="preserve">: A broad menu of co-operation in sectors such as science and technology, energy, transport and the environment </w:t>
      </w:r>
    </w:p>
    <w:p>
      <w:pPr>
        <w:pStyle w:val="DefinitionList"/>
        <w:spacing w:before="100" w:after="100"/>
        <w:rPr/>
      </w:pPr>
      <w:r>
        <w:rPr>
          <w:i/>
        </w:rPr>
        <w:t>Justice and Home Affairs</w:t>
      </w:r>
      <w:r>
        <w:rPr/>
        <w:t xml:space="preserve">: Co-operation to prevent illegal activities, including co-operation to combat trafficking in drugs, money laundering and organised crime </w:t>
      </w:r>
    </w:p>
    <w:p>
      <w:pPr>
        <w:pStyle w:val="DefinitionList"/>
        <w:spacing w:before="100" w:after="100"/>
        <w:rPr/>
      </w:pPr>
      <w:r>
        <w:rPr>
          <w:i/>
        </w:rPr>
        <w:t>Institutions</w:t>
      </w:r>
      <w:r>
        <w:rPr/>
        <w:t xml:space="preserve">: Summit, Co-operation Council (ministerial level), Co-operation Committee (senior official level), and Sub-Committees on technical issues </w:t>
      </w:r>
    </w:p>
    <w:p>
      <w:pPr>
        <w:pStyle w:val="DefinitionList"/>
        <w:spacing w:before="100" w:after="100"/>
        <w:rPr/>
      </w:pPr>
      <w:r>
        <w:rPr/>
        <w:t xml:space="preserve">The EU's Common Strategy on Russia of June 1999 was the first such Common Strategy agreed under the Amsterdam Treaty. It's priority areas are: </w:t>
      </w:r>
    </w:p>
    <w:p>
      <w:pPr>
        <w:pStyle w:val="DefinitionList"/>
        <w:numPr>
          <w:ilvl w:val="0"/>
          <w:numId w:val="2"/>
        </w:numPr>
        <w:spacing w:before="100" w:after="100"/>
        <w:rPr/>
      </w:pPr>
      <w:r>
        <w:rPr/>
        <w:t xml:space="preserve">Consolidation of democracy, rule of law and public institutions </w:t>
      </w:r>
    </w:p>
    <w:p>
      <w:pPr>
        <w:pStyle w:val="DefinitionList"/>
        <w:numPr>
          <w:ilvl w:val="0"/>
          <w:numId w:val="2"/>
        </w:numPr>
        <w:spacing w:before="100" w:after="100"/>
        <w:rPr/>
      </w:pPr>
      <w:r>
        <w:rPr/>
        <w:t xml:space="preserve">Integration of Russia into a common European economic and social space </w:t>
      </w:r>
    </w:p>
    <w:p>
      <w:pPr>
        <w:pStyle w:val="DefinitionList"/>
        <w:numPr>
          <w:ilvl w:val="0"/>
          <w:numId w:val="2"/>
        </w:numPr>
        <w:spacing w:before="100" w:after="100"/>
        <w:rPr/>
      </w:pPr>
      <w:r>
        <w:rPr/>
        <w:t xml:space="preserve">Stability and security in Europe and beyond </w:t>
      </w:r>
    </w:p>
    <w:p>
      <w:pPr>
        <w:pStyle w:val="DefinitionList"/>
        <w:numPr>
          <w:ilvl w:val="0"/>
          <w:numId w:val="2"/>
        </w:numPr>
        <w:spacing w:before="100" w:after="100"/>
        <w:rPr/>
      </w:pPr>
      <w:r>
        <w:rPr/>
        <w:t xml:space="preserve">Common challenges on the European continent (environment, crime…). </w:t>
      </w:r>
    </w:p>
    <w:p>
      <w:pPr>
        <w:pStyle w:val="DefinitionList"/>
        <w:spacing w:before="100" w:after="100"/>
        <w:rPr/>
      </w:pPr>
      <w:r>
        <w:rPr/>
        <w:t xml:space="preserve">The PCA, Tacis and Member States' assistance programmes are the main instruments for implementing the Common Strategy. </w:t>
      </w:r>
    </w:p>
    <w:p>
      <w:pPr>
        <w:pStyle w:val="DefinitionList"/>
        <w:spacing w:before="100" w:after="100"/>
        <w:rPr/>
      </w:pPr>
      <w:r>
        <w:rPr>
          <w:b/>
        </w:rPr>
        <w:t>EU Assistance to Russia</w:t>
      </w:r>
      <w:r>
        <w:rPr/>
        <w:t xml:space="preserve"> </w:t>
      </w:r>
    </w:p>
    <w:p>
      <w:pPr>
        <w:pStyle w:val="DefinitionList"/>
        <w:spacing w:before="100" w:after="100"/>
        <w:rPr/>
      </w:pPr>
      <w:r>
        <w:rPr/>
        <w:t xml:space="preserve">The EU has been the largest provider of economic and technical assistance to Russia. Since 1991 the EU Tacis programme (technical assistance) has supported the economic and democratic reform process in Russia. Between 1991 and 2000, Russia has received € 2.281 in EU assistance. € 1.391 of the total have been allocated within the framework of the Tacis Russian Federations Action Programmes, with the remaining € 890 coming from other programmes - notably regional programmes (including, as of 1996, Cross-Border Cooperation); nuclear safety; donor coordination (including support for the International Science and Technology Centre in Moscow and 50% of EBRD Bankog facility); programme implementation support and other programmes (e.g. Democracy programme). </w:t>
      </w:r>
    </w:p>
    <w:p>
      <w:pPr>
        <w:pStyle w:val="DefinitionList"/>
        <w:spacing w:before="100" w:after="100"/>
        <w:rPr/>
      </w:pPr>
      <w:r>
        <w:rPr/>
        <w:t xml:space="preserve">The Council adopted in January 2000 a new Tacis Regulation, covering the period 2000-2006. Tacis is increasingly used in support of PCA implementation. </w:t>
      </w:r>
    </w:p>
    <w:p>
      <w:pPr>
        <w:pStyle w:val="DefinitionList"/>
        <w:spacing w:before="100" w:after="100"/>
        <w:rPr/>
      </w:pPr>
      <w:r>
        <w:rPr>
          <w:b/>
        </w:rPr>
        <w:t>TACIS funds allocations to Russia in million €</w:t>
      </w:r>
      <w:r>
        <w:rPr/>
        <w:t xml:space="preserve"> </w:t>
      </w:r>
    </w:p>
    <w:p>
      <w:pPr>
        <w:pStyle w:val="DefinitionList"/>
        <w:spacing w:before="100" w:after="100"/>
        <w:rPr/>
      </w:pPr>
      <w:r>
        <w:rPr/>
        <w:t>Russian Federation Action Programmes</w:t>
      </w:r>
    </w:p>
    <w:tbl>
      <w:tblPr>
        <w:tblW w:w="7484" w:type="dxa"/>
        <w:jc w:val="start"/>
        <w:tblInd w:w="0" w:type="dxa"/>
        <w:tblLayout w:type="fixed"/>
        <w:tblCellMar>
          <w:top w:w="0" w:type="dxa"/>
          <w:start w:w="0" w:type="dxa"/>
          <w:bottom w:w="0" w:type="dxa"/>
          <w:end w:w="0" w:type="dxa"/>
        </w:tblCellMar>
      </w:tblPr>
      <w:tblGrid>
        <w:gridCol w:w="5369"/>
        <w:gridCol w:w="501"/>
        <w:gridCol w:w="501"/>
        <w:gridCol w:w="612"/>
        <w:gridCol w:w="501"/>
      </w:tblGrid>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xml:space="preserve">1999 </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2000</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Institutional, legal and administrative reform</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16</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xml:space="preserve">30 </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15</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28</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Private sector support and econ. dev.</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29</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32</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18</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14</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Alleviation of social consequences of transition</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11</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6</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Development of infrastructure networks</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24</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11</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0</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Environm. Protection, nat.resources manag.</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10</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8</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4</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Rural economic development</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13</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9</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0</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Policy advice; small project programmes</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31</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28</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23</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39</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xml:space="preserve">Others </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4</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10</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8</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7</w:t>
            </w:r>
          </w:p>
        </w:tc>
      </w:tr>
      <w:tr>
        <w:trPr/>
        <w:tc>
          <w:tcPr>
            <w:tcW w:w="536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Total</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133</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140</w:t>
            </w:r>
          </w:p>
        </w:tc>
        <w:tc>
          <w:tcPr>
            <w:tcW w:w="61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92</w:t>
            </w:r>
          </w:p>
        </w:tc>
        <w:tc>
          <w:tcPr>
            <w:tcW w:w="5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b/>
              </w:rPr>
            </w:pPr>
            <w:r>
              <w:rPr/>
              <w:t>98</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pPr>
      <w:r>
        <w:rPr>
          <w:b/>
        </w:rPr>
        <w:t>Estimated Allocations to Russia through other Programmes (Tacis funds) in million €</w:t>
      </w:r>
    </w:p>
    <w:tbl>
      <w:tblPr>
        <w:tblW w:w="7488" w:type="dxa"/>
        <w:jc w:val="start"/>
        <w:tblInd w:w="0" w:type="dxa"/>
        <w:tblLayout w:type="fixed"/>
        <w:tblCellMar>
          <w:top w:w="0" w:type="dxa"/>
          <w:start w:w="0" w:type="dxa"/>
          <w:bottom w:w="0" w:type="dxa"/>
          <w:end w:w="0" w:type="dxa"/>
        </w:tblCellMar>
      </w:tblPr>
      <w:tblGrid>
        <w:gridCol w:w="4416"/>
        <w:gridCol w:w="768"/>
        <w:gridCol w:w="768"/>
        <w:gridCol w:w="768"/>
        <w:gridCol w:w="768"/>
      </w:tblGrid>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1999</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2000</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Regional programmes</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21</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22</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16</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15</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xml:space="preserve">Nuclear safety </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34</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17</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12</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33</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Donor co-ordination</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27</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29</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29</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32</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Programme Impl. support</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17</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16</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18</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Others</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6</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w:t>
            </w:r>
          </w:p>
        </w:tc>
      </w:tr>
      <w:tr>
        <w:trPr/>
        <w:tc>
          <w:tcPr>
            <w:tcW w:w="441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xml:space="preserve">Total </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105</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88</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80</w:t>
            </w:r>
          </w:p>
        </w:tc>
        <w:tc>
          <w:tcPr>
            <w:tcW w:w="76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100</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pPr>
      <w:r>
        <w:rPr/>
        <w:t xml:space="preserve">A major EU Food Aid programme (€ 470 million) was awarded to Russia at the end of 1998. Russia also receives targeted EU Humanitarian Aid (ECHO) for groups in need. In 2001, Russia is expected to receive € 90 m within the framework of Tacis Action Programmes in addition to a comparable amount from a variety of programmes, including Cross-border Co-operation; nuclear safety; the Baltic line. Over the period 1996-1999, Russia has also benefited from € 520.88 m of financial assistance from member-states (credits actually disbursed - including € 13.58 m in debt cancellation) and from € 1577.50 m in EBRD credits. </w:t>
      </w:r>
    </w:p>
    <w:p>
      <w:pPr>
        <w:pStyle w:val="DefinitionList"/>
        <w:spacing w:before="100" w:after="100"/>
        <w:rPr/>
      </w:pPr>
      <w:r>
        <w:rPr>
          <w:b/>
        </w:rPr>
        <w:t>EU-Russia Trade</w:t>
      </w:r>
      <w:r>
        <w:rPr/>
        <w:t xml:space="preserve"> </w:t>
      </w:r>
    </w:p>
    <w:p>
      <w:pPr>
        <w:pStyle w:val="DefinitionList"/>
        <w:spacing w:before="100" w:after="100"/>
        <w:rPr/>
      </w:pPr>
      <w:r>
        <w:rPr/>
        <w:t xml:space="preserve">The EU represents Russia's largest trade partner, accounting for 36.7% of Russia's imports and 33.2% of its export trade. Russia's share in EU external trade is 3.3% of the EU's total imports and 1.9% of its exports. In 1999, Russia was the EU's sixth largest trading partner after the USA, Switzerland, Japan, China and Norway. It is likely to rank higher in 2000-2001 as a result of considerable growth in bilateral trade (1999 is the last year for which full data is currently available; for more recent data, see below). Moreover, the structure of bilateral trade displays a market imbalance, with fuel and primary products representing the bulk of Russian exports - as opposed to the predominance of finished industrial goods in imports from the EU. Russia provides over 15% of the EU's needs in imported fuel. </w:t>
      </w:r>
    </w:p>
    <w:p>
      <w:pPr>
        <w:pStyle w:val="DefinitionList"/>
        <w:spacing w:before="100" w:after="100"/>
        <w:rPr/>
      </w:pPr>
      <w:r>
        <w:rPr/>
        <w:t xml:space="preserve">Bilateral trade showed a dramatic downward trend in the wake of the 1998 financial crisis, which had a particularly strong impact on EU exports. The devaluation of the rouble has assisted Russian exports to the EU, which increased spectacularly in 2000 (60% year-on-year growth). The modest recovery of the Russian economy has equally enabled a small increase in imports from the EU, which have, nevertheless, not returned to pre-crisis levels - not least due to the persistence of certain protectionist measures, e.g. regarding the import of alcoholic beverages and automobiles. </w:t>
      </w:r>
    </w:p>
    <w:p>
      <w:pPr>
        <w:pStyle w:val="DefinitionList"/>
        <w:spacing w:before="100" w:after="100"/>
        <w:rPr>
          <w:b/>
        </w:rPr>
      </w:pPr>
      <w:r>
        <w:rPr>
          <w:b/>
        </w:rPr>
        <w:t>EU-Russia trade, 1995-2000 (€ million)</w:t>
      </w:r>
    </w:p>
    <w:tbl>
      <w:tblPr>
        <w:tblW w:w="7486" w:type="dxa"/>
        <w:jc w:val="start"/>
        <w:tblInd w:w="0" w:type="dxa"/>
        <w:tblLayout w:type="fixed"/>
        <w:tblCellMar>
          <w:top w:w="0" w:type="dxa"/>
          <w:start w:w="0" w:type="dxa"/>
          <w:bottom w:w="0" w:type="dxa"/>
          <w:end w:w="0" w:type="dxa"/>
        </w:tblCellMar>
      </w:tblPr>
      <w:tblGrid>
        <w:gridCol w:w="838"/>
        <w:gridCol w:w="1657"/>
        <w:gridCol w:w="675"/>
        <w:gridCol w:w="1657"/>
        <w:gridCol w:w="675"/>
        <w:gridCol w:w="1984"/>
      </w:tblGrid>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Year</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Exports</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pPr>
            <w:r>
              <w:rPr/>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Imports</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pPr>
            <w:r>
              <w:rPr/>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Balance</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1995</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14,382.015</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pPr>
            <w:r>
              <w:rPr/>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20,149.545</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pPr>
            <w:r>
              <w:rPr/>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- 5,767.530</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1996</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17,110.360</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22,133.042</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+10%</w:t>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- 5,022.682</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23,146.974</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+35%</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25,683.621</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+16%</w:t>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- 2,536.647</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19,165.825</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-17%</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21,846.875</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-15%</w:t>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- 2,681.050</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1999</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13,373.547</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-30%</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24,735.083</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+13%</w:t>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- 11,361.535</w:t>
            </w:r>
          </w:p>
        </w:tc>
      </w:tr>
      <w:tr>
        <w:trPr/>
        <w:tc>
          <w:tcPr>
            <w:tcW w:w="83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2000*</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16,459.446</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+23%</w:t>
            </w:r>
          </w:p>
        </w:tc>
        <w:tc>
          <w:tcPr>
            <w:tcW w:w="165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41,144.395</w:t>
            </w:r>
          </w:p>
        </w:tc>
        <w:tc>
          <w:tcPr>
            <w:tcW w:w="67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+66%</w:t>
            </w:r>
          </w:p>
        </w:tc>
        <w:tc>
          <w:tcPr>
            <w:tcW w:w="1984"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- 24,684.949</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pPr>
      <w:r>
        <w:rPr/>
        <w:t xml:space="preserve">* Figures for 2000 are estimates </w:t>
      </w:r>
    </w:p>
    <w:p>
      <w:pPr>
        <w:pStyle w:val="DefinitionList"/>
        <w:spacing w:before="100" w:after="100"/>
        <w:rPr/>
      </w:pPr>
      <w:r>
        <w:rPr>
          <w:b/>
        </w:rPr>
        <w:t>Political situation</w:t>
      </w:r>
      <w:r>
        <w:rPr/>
        <w:t xml:space="preserve"> </w:t>
      </w:r>
    </w:p>
    <w:p>
      <w:pPr>
        <w:pStyle w:val="DefinitionList"/>
        <w:spacing w:before="100" w:after="100"/>
        <w:rPr/>
      </w:pPr>
      <w:r>
        <w:rPr/>
        <w:t xml:space="preserve">The Constitution of the RF was adopted on 12 December 1993. Article 1 states that the RF shall be a democratic, federal state based on the rule-of-law, with a republican form of government. The Federal Assembly is Russia's highest representative and legislative body. It consists of two chambers, the Federation Council and the State Duma. </w:t>
      </w:r>
    </w:p>
    <w:p>
      <w:pPr>
        <w:pStyle w:val="DefinitionList"/>
        <w:spacing w:before="100" w:after="100"/>
        <w:rPr/>
      </w:pPr>
      <w:r>
        <w:rPr/>
        <w:t xml:space="preserve">The constitutional position of the President is very strong. The President has extensive executive powers. He determines the main directions of domestic and foreign policy and represents the country in its foreign relations. He may veto legislation submitted to him by the legislature and initiate legislation through presidential decree. He has the right to dismiss and nominate the Prime Minister. </w:t>
      </w:r>
    </w:p>
    <w:p>
      <w:pPr>
        <w:pStyle w:val="DefinitionList"/>
        <w:spacing w:before="100" w:after="100"/>
        <w:rPr/>
      </w:pPr>
      <w:r>
        <w:rPr/>
        <w:t xml:space="preserve">Presidential elections take place at intervals of not more than 5 years and are based on universal suffrage. If no candidate secures more than 50% of the vote, then the contest enters a second round of voting between the two strongest candidates. Parliamentary elections are also based on universal suffrage. There are 450 seats in the State Duma: 225 from single-mandate constituencies and 225 from federal constituencies (based on a proportional representation system). </w:t>
      </w:r>
    </w:p>
    <w:p>
      <w:pPr>
        <w:pStyle w:val="DefinitionList"/>
        <w:spacing w:before="100" w:after="100"/>
        <w:rPr/>
      </w:pPr>
      <w:r>
        <w:rPr/>
        <w:t xml:space="preserve">Following the election of President Putin, the new Government adopted as early as July 2000 an ambitious programme of socio-economic reforms. The main focal points are the reform of the social, health and education sectors, and the improvement of the business and investment climate. The programme foresees, for instance, a profound reorganisation of the social safety net and a radical simplification of the taxation and customs systems. </w:t>
      </w:r>
    </w:p>
    <w:p>
      <w:pPr>
        <w:pStyle w:val="DefinitionList"/>
        <w:spacing w:before="100" w:after="100"/>
        <w:rPr/>
      </w:pPr>
      <w:r>
        <w:rPr/>
        <w:t xml:space="preserve">The Putin administration has been active in redefining relations between the federal centre and the regional authorities. The creation of seven federal districts headed by presidential representatives has aimed at ensuring the compliance of regional legislation with federal law and - more generally - strengthening federal authorities' control over the regions. A series of legal investigations of media enterprises, most notably those connected to the sale of Vladimir Gusinsky's Media-MOST to the state-controlled 'Gazprom', as well as a number of violent attacks on journalists have recently given rise to concern about the future of the independent media in Russia. The EU remains very concerned about the humanitarian situation in Chechnya. It has been concentrating its efforts on securing access and improving conditions for NGOs providing humanitarian assistance to Chechnya and on inviting the Russian authorities to provide maximum support to the office of Mr Kalamanov, Russia's own representative for human rights, in order to bring human rights violations to justice. </w:t>
      </w:r>
    </w:p>
    <w:p>
      <w:pPr>
        <w:pStyle w:val="DefinitionList"/>
        <w:spacing w:before="100" w:after="100"/>
        <w:rPr/>
      </w:pPr>
      <w:r>
        <w:rPr>
          <w:b/>
        </w:rPr>
        <w:t>Economic situation</w:t>
      </w:r>
      <w:r>
        <w:rPr/>
        <w:t xml:space="preserve"> </w:t>
      </w:r>
    </w:p>
    <w:p>
      <w:pPr>
        <w:pStyle w:val="DefinitionList"/>
        <w:spacing w:before="100" w:after="100"/>
        <w:rPr/>
      </w:pPr>
      <w:r>
        <w:rPr/>
        <w:t xml:space="preserve">Although Russia has made considerable progress in her transition to a democratic market economy, much remains to be done. Since the fall of the Soviet Union, GDP, standards of living and social security have fallen dramatically, while poverty has risen enormously. However, thanks to the devaluation of the rouble caused by the 1998 financial crisis (which boosted demand for local productions), macro-economic stability and unexpectedly high world energy prices, GDP growth has rebounded in late 1999 and 2000. It remains to be seen whether genuine progress in economic restructuring can be maintained and whether it would be sustainable in the longer term in the event of a slump in oil and gas prices. </w:t>
      </w:r>
    </w:p>
    <w:p>
      <w:pPr>
        <w:pStyle w:val="DefinitionList"/>
        <w:spacing w:before="100" w:after="100"/>
        <w:rPr/>
      </w:pPr>
      <w:r>
        <w:rPr/>
        <w:t xml:space="preserve">In 2000, Russia's GDP grew by 7.6%, which has been linked to the persistence of high oil and gas prices on the world market. </w:t>
      </w:r>
    </w:p>
    <w:p>
      <w:pPr>
        <w:pStyle w:val="DefinitionList"/>
        <w:spacing w:before="100" w:after="100"/>
        <w:rPr>
          <w:b/>
        </w:rPr>
      </w:pPr>
      <w:r>
        <w:rPr>
          <w:b/>
        </w:rPr>
        <w:t>Foreign Investment (total in $ billion)</w:t>
      </w:r>
    </w:p>
    <w:tbl>
      <w:tblPr>
        <w:tblW w:w="7484" w:type="dxa"/>
        <w:jc w:val="start"/>
        <w:tblInd w:w="0" w:type="dxa"/>
        <w:tblLayout w:type="fixed"/>
        <w:tblCellMar>
          <w:top w:w="0" w:type="dxa"/>
          <w:start w:w="0" w:type="dxa"/>
          <w:bottom w:w="0" w:type="dxa"/>
          <w:end w:w="0" w:type="dxa"/>
        </w:tblCellMar>
      </w:tblPr>
      <w:tblGrid>
        <w:gridCol w:w="750"/>
        <w:gridCol w:w="750"/>
        <w:gridCol w:w="936"/>
        <w:gridCol w:w="936"/>
        <w:gridCol w:w="750"/>
        <w:gridCol w:w="3362"/>
      </w:tblGrid>
      <w:tr>
        <w:trPr/>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1995</w:t>
            </w:r>
          </w:p>
        </w:tc>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1996</w:t>
            </w:r>
          </w:p>
        </w:tc>
        <w:tc>
          <w:tcPr>
            <w:tcW w:w="93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93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1999</w:t>
            </w:r>
          </w:p>
        </w:tc>
        <w:tc>
          <w:tcPr>
            <w:tcW w:w="336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first half of 2000</w:t>
            </w:r>
          </w:p>
        </w:tc>
      </w:tr>
      <w:tr>
        <w:trPr/>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2.80</w:t>
            </w:r>
          </w:p>
        </w:tc>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6.51</w:t>
            </w:r>
          </w:p>
        </w:tc>
        <w:tc>
          <w:tcPr>
            <w:tcW w:w="93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12.30</w:t>
            </w:r>
          </w:p>
        </w:tc>
        <w:tc>
          <w:tcPr>
            <w:tcW w:w="93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11.77</w:t>
            </w:r>
          </w:p>
        </w:tc>
        <w:tc>
          <w:tcPr>
            <w:tcW w:w="75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9.5</w:t>
            </w:r>
          </w:p>
        </w:tc>
        <w:tc>
          <w:tcPr>
            <w:tcW w:w="336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b/>
              </w:rPr>
            </w:pPr>
            <w:r>
              <w:rPr/>
              <w:t>4.8</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b/>
        </w:rPr>
      </w:pPr>
      <w:r>
        <w:rPr>
          <w:b/>
        </w:rPr>
        <w:t>Foreign Direct Investment from the EU (€ million)</w:t>
      </w:r>
    </w:p>
    <w:tbl>
      <w:tblPr>
        <w:tblW w:w="7485" w:type="dxa"/>
        <w:jc w:val="start"/>
        <w:tblInd w:w="0" w:type="dxa"/>
        <w:tblLayout w:type="fixed"/>
        <w:tblCellMar>
          <w:top w:w="0" w:type="dxa"/>
          <w:start w:w="0" w:type="dxa"/>
          <w:bottom w:w="0" w:type="dxa"/>
          <w:end w:w="0" w:type="dxa"/>
        </w:tblCellMar>
      </w:tblPr>
      <w:tblGrid>
        <w:gridCol w:w="1497"/>
        <w:gridCol w:w="1497"/>
        <w:gridCol w:w="1497"/>
        <w:gridCol w:w="1497"/>
        <w:gridCol w:w="1497"/>
      </w:tblGrid>
      <w:tr>
        <w:trPr/>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1995</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1996</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1999</w:t>
            </w:r>
          </w:p>
        </w:tc>
      </w:tr>
      <w:tr>
        <w:trPr/>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257</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576</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1723</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435</w:t>
            </w:r>
          </w:p>
        </w:tc>
        <w:tc>
          <w:tcPr>
            <w:tcW w:w="1497"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342</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pPr>
      <w:r>
        <w:rPr/>
        <w:t xml:space="preserve">Russia as so far not been able to attract foreign direct investment (FDI) on a scale in tune with her investment needs. Since the August 1998 crisis, which was a severe blow to Russia's emerging role in the international financial system, there has been more caution in economic policy. Boosting FDI is a key priority of the Russian Government. On its part, the EU has been stressing the need for Russia to provide a stable and reliable legal and institutional framework, which would encourage foreign investor confidence in the Russian market. This is especially relevant to the ongoing Russia-EU energy dialogue. The EU has emphasised that Russia's ratification of the Energy Charter Treaty would be a major step towards creating such a framework for investment in the energy sector. </w:t>
      </w:r>
    </w:p>
    <w:p>
      <w:pPr>
        <w:pStyle w:val="DefinitionList"/>
        <w:spacing w:before="100" w:after="100"/>
        <w:rPr/>
      </w:pPr>
      <w:r>
        <w:rPr/>
        <w:t xml:space="preserve">Rescheduling government debt has been a priority. Debt amounted to approximately USD 200 billion by the end of 1999, of which USD 150 was external debt (including USD 103 inherited from the Soviet Union). Achievements with London club are an important step forward. There are ongoing negotiations with the IMF, the World Bank and the Paris club. </w:t>
      </w:r>
    </w:p>
    <w:p>
      <w:pPr>
        <w:pStyle w:val="DefinitionList"/>
        <w:spacing w:before="100" w:after="100"/>
        <w:rPr>
          <w:b/>
        </w:rPr>
      </w:pPr>
      <w:r>
        <w:rPr>
          <w:b/>
        </w:rPr>
        <w:t>Budget deficit (% of GDP)</w:t>
      </w:r>
    </w:p>
    <w:tbl>
      <w:tblPr>
        <w:tblW w:w="7488" w:type="dxa"/>
        <w:jc w:val="start"/>
        <w:tblInd w:w="0" w:type="dxa"/>
        <w:tblLayout w:type="fixed"/>
        <w:tblCellMar>
          <w:top w:w="0" w:type="dxa"/>
          <w:start w:w="0" w:type="dxa"/>
          <w:bottom w:w="0" w:type="dxa"/>
          <w:end w:w="0" w:type="dxa"/>
        </w:tblCellMar>
      </w:tblPr>
      <w:tblGrid>
        <w:gridCol w:w="896"/>
        <w:gridCol w:w="896"/>
        <w:gridCol w:w="896"/>
        <w:gridCol w:w="896"/>
        <w:gridCol w:w="896"/>
        <w:gridCol w:w="3008"/>
      </w:tblGrid>
      <w:tr>
        <w:trPr/>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1995</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1996</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1997</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1998</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1999</w:t>
            </w:r>
          </w:p>
        </w:tc>
        <w:tc>
          <w:tcPr>
            <w:tcW w:w="300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2000 (estimate)</w:t>
            </w:r>
          </w:p>
        </w:tc>
      </w:tr>
      <w:tr>
        <w:trPr/>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3.2</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4.4</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5.1</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3.6</w:t>
            </w:r>
          </w:p>
        </w:tc>
        <w:tc>
          <w:tcPr>
            <w:tcW w:w="896"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1.5</w:t>
            </w:r>
          </w:p>
        </w:tc>
        <w:tc>
          <w:tcPr>
            <w:tcW w:w="300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pPr>
            <w:r>
              <w:rPr/>
              <w:t>- 2.5 (surplus)</w:t>
            </w:r>
          </w:p>
        </w:tc>
      </w:tr>
    </w:tbl>
    <w:p>
      <w:pPr>
        <w:pStyle w:val="DefinitionList"/>
        <w:spacing w:before="100" w:after="100"/>
        <w:rPr/>
      </w:pPr>
      <w:r>
        <w:rPr/>
      </w:r>
    </w:p>
    <w:tbl>
      <w:tblPr>
        <w:tblW w:w="7488" w:type="dxa"/>
        <w:jc w:val="start"/>
        <w:tblInd w:w="0" w:type="dxa"/>
        <w:tblLayout w:type="fixed"/>
        <w:tblCellMar>
          <w:top w:w="0" w:type="dxa"/>
          <w:start w:w="0" w:type="dxa"/>
          <w:bottom w:w="0" w:type="dxa"/>
          <w:end w:w="0" w:type="dxa"/>
        </w:tblCellMar>
      </w:tblPr>
      <w:tblGrid>
        <w:gridCol w:w="7488"/>
      </w:tblGrid>
      <w:tr>
        <w:trPr/>
        <w:tc>
          <w:tcPr>
            <w:tcW w:w="7488"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rPr>
                <w:sz w:val="20"/>
              </w:rPr>
            </w:pPr>
            <w:r>
              <w:rPr>
                <w:sz w:val="20"/>
              </w:rPr>
            </w:r>
          </w:p>
        </w:tc>
      </w:tr>
    </w:tbl>
    <w:p>
      <w:pPr>
        <w:pStyle w:val="DefinitionList"/>
        <w:spacing w:before="100" w:after="100"/>
        <w:rPr/>
      </w:pPr>
      <w:r>
        <w:rPr/>
        <w:t xml:space="preserve">In 2000, the budget of the Russian Federation displayed a surplus for the first time since the collapse of the Soviet Union. In order to maintain this positive trend, the government will need to continue improving tax legislation and its enforcement, particularly effective tax collection. </w:t>
      </w:r>
    </w:p>
    <w:p>
      <w:pPr>
        <w:pStyle w:val="DefinitionList"/>
        <w:spacing w:before="100" w:after="100"/>
        <w:rPr/>
      </w:pPr>
      <w:r>
        <w:rPr/>
        <w:t xml:space="preserve">For more information, please refer to the Russian Economic Trends, a monthly publication of the Russian-European Centre for Economic Policy (RECEP).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itigateFrutigerBold">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GB" w:eastAsia="zh-CN" w:bidi="hi-IN"/>
    </w:rPr>
  </w:style>
  <w:style w:type="paragraph" w:styleId="Heading1">
    <w:name w:val="heading 1"/>
    <w:next w:val="Normal"/>
    <w:qFormat/>
    <w:pPr>
      <w:keepNext w:val="true"/>
      <w:widowControl/>
      <w:numPr>
        <w:ilvl w:val="0"/>
        <w:numId w:val="1"/>
      </w:numPr>
      <w:bidi w:val="0"/>
      <w:spacing w:before="240" w:after="594"/>
      <w:outlineLvl w:val="0"/>
    </w:pPr>
    <w:rPr>
      <w:rFonts w:ascii="CitigateFrutigerBold" w:hAnsi="CitigateFrutigerBold" w:eastAsia="Times New Roman" w:cs="CitigateFrutigerBold"/>
      <w:color w:val="FFFFFF"/>
      <w:kern w:val="2"/>
      <w:sz w:val="28"/>
      <w:szCs w:val="20"/>
      <w:lang w:val="en-CA" w:eastAsia="zh-CN" w:bidi="hi-IN"/>
    </w:rPr>
  </w:style>
  <w:style w:type="paragraph" w:styleId="Heading2">
    <w:name w:val="heading 2"/>
    <w:next w:val="Normal"/>
    <w:qFormat/>
    <w:pPr>
      <w:keepNext w:val="true"/>
      <w:widowControl/>
      <w:numPr>
        <w:ilvl w:val="1"/>
        <w:numId w:val="1"/>
      </w:numPr>
      <w:bidi w:val="0"/>
      <w:spacing w:before="120" w:after="60"/>
      <w:outlineLvl w:val="1"/>
    </w:pPr>
    <w:rPr>
      <w:rFonts w:ascii="CitigateFrutigerBold" w:hAnsi="CitigateFrutigerBold" w:eastAsia="Times New Roman" w:cs="CitigateFrutigerBold"/>
      <w:color w:val="800000"/>
      <w:sz w:val="24"/>
      <w:szCs w:val="20"/>
      <w:lang w:val="en-CA" w:eastAsia="zh-CN" w:bidi="hi-IN"/>
    </w:rPr>
  </w:style>
  <w:style w:type="paragraph" w:styleId="Heading3">
    <w:name w:val="heading 3"/>
    <w:basedOn w:val="Normal"/>
    <w:next w:val="Normal"/>
    <w:qFormat/>
    <w:pPr>
      <w:keepNext w:val="true"/>
      <w:numPr>
        <w:ilvl w:val="2"/>
        <w:numId w:val="1"/>
      </w:numPr>
      <w:spacing w:before="120" w:after="60"/>
      <w:outlineLvl w:val="2"/>
    </w:pPr>
    <w:rPr>
      <w:b/>
      <w:i/>
      <w:sz w:val="24"/>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List">
    <w:name w:val="Definition List"/>
    <w:basedOn w:val="Normal"/>
    <w:next w:val="DefinitionTerm"/>
    <w:qFormat/>
    <w:pPr>
      <w:ind w:hanging="0" w:start="360" w:end="0"/>
    </w:pPr>
    <w:rPr>
      <w:sz w:val="24"/>
      <w:lang w:eastAsia="en-US"/>
    </w:rPr>
  </w:style>
  <w:style w:type="paragraph" w:styleId="DefinitionTerm">
    <w:name w:val="Definition Term"/>
    <w:basedOn w:val="Normal"/>
    <w:next w:val="DefinitionList"/>
    <w:qFormat/>
    <w:pPr/>
    <w:rPr>
      <w:sz w:val="24"/>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2001-05-15T09:57:00Z</dcterms:created>
  <dc:creator>Amaia Betelu Bazo</dc:creator>
  <dc:description/>
  <dc:language>en-CA</dc:language>
  <cp:lastModifiedBy>Amaia Betelu Bazo</cp:lastModifiedBy>
  <dcterms:modified xsi:type="dcterms:W3CDTF">2001-05-15T09:57:00Z</dcterms:modified>
  <cp:revision>1</cp:revision>
  <dc:subject/>
  <dc:title>MEMO/01/178 </dc:title>
</cp:coreProperties>
</file>