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5212080</wp:posOffset>
                </wp:positionH>
                <wp:positionV relativeFrom="paragraph">
                  <wp:posOffset>274320</wp:posOffset>
                </wp:positionV>
                <wp:extent cx="1646555" cy="549275"/>
                <wp:effectExtent l="0" t="0" r="0" b="0"/>
                <wp:wrapNone/>
                <wp:docPr id="2" name="Frame1"/>
                <a:graphic xmlns:a="http://schemas.openxmlformats.org/drawingml/2006/main">
                  <a:graphicData uri="http://schemas.microsoft.com/office/word/2010/wordprocessingShape">
                    <wps:wsp>
                      <wps:cNvSpPr txBox="1"/>
                      <wps:spPr>
                        <a:xfrm>
                          <a:off x="0" y="0"/>
                          <a:ext cx="1646555" cy="549275"/>
                        </a:xfrm>
                        <a:prstGeom prst="rect"/>
                        <a:solidFill>
                          <a:srgbClr val="FFFFFF"/>
                        </a:solidFill>
                      </wps:spPr>
                      <wps:txbx>
                        <w:txbxContent>
                          <w:p>
                            <w:pPr>
                              <w:pStyle w:val="Normal"/>
                              <w:rPr>
                                <w:rFonts w:ascii="Arial" w:hAnsi="Arial" w:cs="Arial"/>
                                <w:b/>
                                <w:sz w:val="32"/>
                              </w:rPr>
                            </w:pPr>
                            <w:r>
                              <w:rPr>
                                <w:rFonts w:cs="Arial" w:ascii="Arial" w:hAnsi="Arial"/>
                                <w:b/>
                                <w:sz w:val="32"/>
                              </w:rPr>
                              <w:t>Interoffice</w:t>
                            </w:r>
                          </w:p>
                          <w:p>
                            <w:pPr>
                              <w:pStyle w:val="Normal"/>
                              <w:rPr>
                                <w:rFonts w:ascii="Arial" w:hAnsi="Arial" w:cs="Arial"/>
                                <w:b/>
                                <w:sz w:val="32"/>
                              </w:rPr>
                            </w:pPr>
                            <w:r>
                              <w:rPr>
                                <w:rFonts w:cs="Arial" w:ascii="Arial" w:hAnsi="Arial"/>
                                <w:b/>
                                <w:sz w:val="32"/>
                              </w:rPr>
                              <w:t>Memorandum</w:t>
                            </w:r>
                          </w:p>
                        </w:txbxContent>
                      </wps:txbx>
                      <wps:bodyPr anchor="t" lIns="635" tIns="635" rIns="635" bIns="635">
                        <a:noAutofit/>
                      </wps:bodyPr>
                    </wps:wsp>
                  </a:graphicData>
                </a:graphic>
              </wp:anchor>
            </w:drawing>
          </mc:Choice>
          <mc:Fallback>
            <w:pict>
              <v:rect fillcolor="#FFFFFF" style="position:absolute;rotation:-0;width:129.65pt;height:43.25pt;mso-wrap-distance-left:9.05pt;mso-wrap-distance-right:9.05pt;mso-wrap-distance-top:0pt;mso-wrap-distance-bottom:0pt;margin-top:21.6pt;mso-position-vertical-relative:text;margin-left:410.4pt;mso-position-horizontal-relative:text">
                <v:textbox inset="0.000694444444444445in,0.000694444444444445in,0.000694444444444445in,0.000694444444444445in">
                  <w:txbxContent>
                    <w:p>
                      <w:pPr>
                        <w:pStyle w:val="Normal"/>
                        <w:rPr>
                          <w:rFonts w:ascii="Arial" w:hAnsi="Arial" w:cs="Arial"/>
                          <w:b/>
                          <w:sz w:val="32"/>
                        </w:rPr>
                      </w:pPr>
                      <w:r>
                        <w:rPr>
                          <w:rFonts w:cs="Arial" w:ascii="Arial" w:hAnsi="Arial"/>
                          <w:b/>
                          <w:sz w:val="32"/>
                        </w:rPr>
                        <w:t>Interoffice</w:t>
                      </w:r>
                    </w:p>
                    <w:p>
                      <w:pPr>
                        <w:pStyle w:val="Normal"/>
                        <w:rPr>
                          <w:rFonts w:ascii="Arial" w:hAnsi="Arial" w:cs="Arial"/>
                          <w:b/>
                          <w:sz w:val="32"/>
                        </w:rPr>
                      </w:pPr>
                      <w:r>
                        <w:rPr>
                          <w:rFonts w:cs="Arial" w:ascii="Arial" w:hAnsi="Arial"/>
                          <w:b/>
                          <w:sz w:val="32"/>
                        </w:rPr>
                        <w:t>Memorandum</w:t>
                      </w:r>
                    </w:p>
                  </w:txbxContent>
                </v:textbox>
                <w10:wrap type="none"/>
              </v:rect>
            </w:pict>
          </mc:Fallback>
        </mc:AlternateContent>
      </w:r>
    </w:p>
    <w:p>
      <w:pPr>
        <w:pStyle w:val="Normal"/>
        <w:rPr>
          <w:rFonts w:ascii="Arial" w:hAnsi="Arial" w:cs="Arial"/>
        </w:rPr>
      </w:pPr>
      <w:r>
        <w:rPr>
          <w:rFonts w:cs="Arial" w:ascii="Arial" w:hAnsi="Arial"/>
        </w:rPr>
      </w:r>
    </w:p>
    <w:tbl>
      <w:tblPr>
        <w:tblW w:w="10708" w:type="dxa"/>
        <w:jc w:val="start"/>
        <w:tblInd w:w="200" w:type="dxa"/>
        <w:tblLayout w:type="fixed"/>
        <w:tblCellMar>
          <w:top w:w="0" w:type="dxa"/>
          <w:start w:w="108" w:type="dxa"/>
          <w:bottom w:w="0" w:type="dxa"/>
          <w:end w:w="108" w:type="dxa"/>
        </w:tblCellMar>
      </w:tblPr>
      <w:tblGrid>
        <w:gridCol w:w="898"/>
        <w:gridCol w:w="5930"/>
        <w:gridCol w:w="1270"/>
        <w:gridCol w:w="2610"/>
      </w:tblGrid>
      <w:tr>
        <w:trPr>
          <w:trHeight w:val="300" w:hRule="exact"/>
        </w:trPr>
        <w:tc>
          <w:tcPr>
            <w:tcW w:w="898" w:type="dxa"/>
            <w:tcBorders/>
          </w:tcPr>
          <w:p>
            <w:pPr>
              <w:pStyle w:val="Normal"/>
              <w:ind w:start="-180" w:end="0"/>
              <w:jc w:val="end"/>
              <w:rPr>
                <w:rFonts w:ascii="Arial" w:hAnsi="Arial" w:cs="Arial"/>
              </w:rPr>
            </w:pPr>
            <w:r>
              <w:rPr>
                <w:rFonts w:cs="Arial" w:ascii="Arial" w:hAnsi="Arial"/>
              </w:rPr>
              <w:t>To:</w:t>
            </w:r>
          </w:p>
        </w:tc>
        <w:tc>
          <w:tcPr>
            <w:tcW w:w="5930" w:type="dxa"/>
            <w:tcBorders/>
          </w:tcPr>
          <w:p>
            <w:pPr>
              <w:pStyle w:val="To"/>
              <w:rPr>
                <w:sz w:val="24"/>
              </w:rPr>
            </w:pPr>
            <w:r>
              <w:rPr>
                <w:sz w:val="24"/>
              </w:rPr>
              <w:t>Rob Walls</w:t>
            </w:r>
          </w:p>
        </w:tc>
        <w:tc>
          <w:tcPr>
            <w:tcW w:w="1270" w:type="dxa"/>
            <w:tcBorders/>
          </w:tcPr>
          <w:p>
            <w:pPr>
              <w:pStyle w:val="Normal"/>
              <w:snapToGrid w:val="false"/>
              <w:ind w:start="-180" w:end="0"/>
              <w:rPr>
                <w:rFonts w:ascii="Arial" w:hAnsi="Arial" w:cs="Arial"/>
                <w:sz w:val="24"/>
              </w:rPr>
            </w:pPr>
            <w:r>
              <w:rPr>
                <w:rFonts w:cs="Arial" w:ascii="Arial" w:hAnsi="Arial"/>
                <w:sz w:val="24"/>
              </w:rPr>
            </w:r>
          </w:p>
        </w:tc>
        <w:tc>
          <w:tcPr>
            <w:tcW w:w="2610" w:type="dxa"/>
            <w:tcBorders/>
          </w:tcPr>
          <w:p>
            <w:pPr>
              <w:pStyle w:val="Normal"/>
              <w:snapToGrid w:val="false"/>
              <w:rPr>
                <w:rFonts w:ascii="Arial" w:hAnsi="Arial" w:cs="Arial"/>
                <w:sz w:val="24"/>
              </w:rPr>
            </w:pPr>
            <w:r>
              <w:rPr>
                <w:rFonts w:cs="Arial" w:ascii="Arial" w:hAnsi="Arial"/>
                <w:sz w:val="24"/>
              </w:rPr>
            </w:r>
          </w:p>
        </w:tc>
      </w:tr>
      <w:tr>
        <w:trPr>
          <w:trHeight w:val="216" w:hRule="exact"/>
        </w:trPr>
        <w:tc>
          <w:tcPr>
            <w:tcW w:w="898" w:type="dxa"/>
            <w:tcBorders/>
          </w:tcPr>
          <w:p>
            <w:pPr>
              <w:pStyle w:val="Normal"/>
              <w:snapToGrid w:val="false"/>
              <w:ind w:start="-180" w:end="0"/>
              <w:jc w:val="end"/>
              <w:rPr>
                <w:rFonts w:ascii="Arial" w:hAnsi="Arial" w:cs="Arial"/>
                <w:sz w:val="24"/>
              </w:rPr>
            </w:pPr>
            <w:r>
              <w:rPr>
                <w:rFonts w:cs="Arial" w:ascii="Arial" w:hAnsi="Arial"/>
                <w:sz w:val="24"/>
              </w:rPr>
            </w:r>
          </w:p>
        </w:tc>
        <w:tc>
          <w:tcPr>
            <w:tcW w:w="5930" w:type="dxa"/>
            <w:tcBorders/>
          </w:tcPr>
          <w:p>
            <w:pPr>
              <w:pStyle w:val="Normal"/>
              <w:snapToGrid w:val="false"/>
              <w:rPr>
                <w:rFonts w:ascii="Arial" w:hAnsi="Arial" w:cs="Arial"/>
                <w:sz w:val="24"/>
              </w:rPr>
            </w:pPr>
            <w:r>
              <w:rPr>
                <w:rFonts w:cs="Arial" w:ascii="Arial" w:hAnsi="Arial"/>
                <w:sz w:val="24"/>
              </w:rPr>
            </w:r>
          </w:p>
        </w:tc>
        <w:tc>
          <w:tcPr>
            <w:tcW w:w="1270" w:type="dxa"/>
            <w:tcBorders/>
          </w:tcPr>
          <w:p>
            <w:pPr>
              <w:pStyle w:val="Normal"/>
              <w:snapToGrid w:val="false"/>
              <w:ind w:start="-180" w:end="0"/>
              <w:rPr>
                <w:rFonts w:ascii="Arial" w:hAnsi="Arial" w:cs="Arial"/>
                <w:sz w:val="24"/>
              </w:rPr>
            </w:pPr>
            <w:r>
              <w:rPr>
                <w:rFonts w:cs="Arial" w:ascii="Arial" w:hAnsi="Arial"/>
                <w:sz w:val="24"/>
              </w:rPr>
            </w:r>
          </w:p>
        </w:tc>
        <w:tc>
          <w:tcPr>
            <w:tcW w:w="2610" w:type="dxa"/>
            <w:tcBorders/>
          </w:tcPr>
          <w:p>
            <w:pPr>
              <w:pStyle w:val="Normal"/>
              <w:snapToGrid w:val="false"/>
              <w:rPr>
                <w:rFonts w:ascii="Arial" w:hAnsi="Arial" w:cs="Arial"/>
                <w:sz w:val="24"/>
              </w:rPr>
            </w:pPr>
            <w:r>
              <w:rPr>
                <w:rFonts w:cs="Arial" w:ascii="Arial" w:hAnsi="Arial"/>
                <w:sz w:val="24"/>
              </w:rPr>
            </w:r>
          </w:p>
        </w:tc>
      </w:tr>
      <w:tr>
        <w:trPr>
          <w:trHeight w:val="300" w:hRule="exact"/>
        </w:trPr>
        <w:tc>
          <w:tcPr>
            <w:tcW w:w="898" w:type="dxa"/>
            <w:tcBorders/>
          </w:tcPr>
          <w:p>
            <w:pPr>
              <w:pStyle w:val="Normal"/>
              <w:ind w:start="-180" w:end="0"/>
              <w:jc w:val="end"/>
              <w:rPr>
                <w:rFonts w:ascii="Arial" w:hAnsi="Arial" w:cs="Arial"/>
              </w:rPr>
            </w:pPr>
            <w:r>
              <w:rPr>
                <w:rFonts w:cs="Arial" w:ascii="Arial" w:hAnsi="Arial"/>
              </w:rPr>
              <w:t>From:</w:t>
            </w:r>
          </w:p>
        </w:tc>
        <w:tc>
          <w:tcPr>
            <w:tcW w:w="5930" w:type="dxa"/>
            <w:tcBorders/>
          </w:tcPr>
          <w:p>
            <w:pPr>
              <w:pStyle w:val="From"/>
              <w:rPr>
                <w:sz w:val="24"/>
              </w:rPr>
            </w:pPr>
            <w:r>
              <w:rPr>
                <w:sz w:val="24"/>
              </w:rPr>
              <w:t>Jim Armogida</w:t>
            </w:r>
          </w:p>
        </w:tc>
        <w:tc>
          <w:tcPr>
            <w:tcW w:w="1270" w:type="dxa"/>
            <w:tcBorders/>
          </w:tcPr>
          <w:p>
            <w:pPr>
              <w:pStyle w:val="Normal"/>
              <w:ind w:start="-180" w:end="0"/>
              <w:jc w:val="end"/>
              <w:rPr>
                <w:rFonts w:ascii="Arial" w:hAnsi="Arial" w:cs="Arial"/>
              </w:rPr>
            </w:pPr>
            <w:r>
              <w:rPr>
                <w:rFonts w:cs="Arial" w:ascii="Arial" w:hAnsi="Arial"/>
              </w:rPr>
              <w:t>Department:</w:t>
            </w:r>
          </w:p>
        </w:tc>
        <w:tc>
          <w:tcPr>
            <w:tcW w:w="2610" w:type="dxa"/>
            <w:tcBorders/>
          </w:tcPr>
          <w:p>
            <w:pPr>
              <w:pStyle w:val="Department"/>
              <w:rPr>
                <w:sz w:val="24"/>
              </w:rPr>
            </w:pPr>
            <w:bookmarkStart w:id="0" w:name="From"/>
            <w:bookmarkEnd w:id="0"/>
            <w:r>
              <w:rPr>
                <w:sz w:val="24"/>
              </w:rPr>
              <w:t>Corporate Legal</w:t>
            </w:r>
          </w:p>
        </w:tc>
      </w:tr>
      <w:tr>
        <w:trPr>
          <w:trHeight w:val="216" w:hRule="exact"/>
        </w:trPr>
        <w:tc>
          <w:tcPr>
            <w:tcW w:w="898" w:type="dxa"/>
            <w:tcBorders/>
          </w:tcPr>
          <w:p>
            <w:pPr>
              <w:pStyle w:val="Normal"/>
              <w:snapToGrid w:val="false"/>
              <w:ind w:start="-180" w:end="0"/>
              <w:jc w:val="end"/>
              <w:rPr>
                <w:rFonts w:ascii="Arial" w:hAnsi="Arial" w:cs="Arial"/>
                <w:sz w:val="24"/>
              </w:rPr>
            </w:pPr>
            <w:r>
              <w:rPr>
                <w:rFonts w:cs="Arial" w:ascii="Arial" w:hAnsi="Arial"/>
                <w:sz w:val="24"/>
              </w:rPr>
            </w:r>
          </w:p>
        </w:tc>
        <w:tc>
          <w:tcPr>
            <w:tcW w:w="5930" w:type="dxa"/>
            <w:tcBorders/>
          </w:tcPr>
          <w:p>
            <w:pPr>
              <w:pStyle w:val="Normal"/>
              <w:snapToGrid w:val="false"/>
              <w:rPr>
                <w:rFonts w:ascii="Arial" w:hAnsi="Arial" w:cs="Arial"/>
                <w:sz w:val="24"/>
              </w:rPr>
            </w:pPr>
            <w:r>
              <w:rPr>
                <w:rFonts w:cs="Arial" w:ascii="Arial" w:hAnsi="Arial"/>
                <w:sz w:val="24"/>
              </w:rPr>
            </w:r>
          </w:p>
        </w:tc>
        <w:tc>
          <w:tcPr>
            <w:tcW w:w="1270" w:type="dxa"/>
            <w:tcBorders/>
          </w:tcPr>
          <w:p>
            <w:pPr>
              <w:pStyle w:val="Normal"/>
              <w:snapToGrid w:val="false"/>
              <w:ind w:start="-180" w:end="0"/>
              <w:rPr>
                <w:rFonts w:ascii="Arial" w:hAnsi="Arial" w:cs="Arial"/>
                <w:sz w:val="24"/>
              </w:rPr>
            </w:pPr>
            <w:r>
              <w:rPr>
                <w:rFonts w:cs="Arial" w:ascii="Arial" w:hAnsi="Arial"/>
                <w:sz w:val="24"/>
              </w:rPr>
            </w:r>
          </w:p>
        </w:tc>
        <w:tc>
          <w:tcPr>
            <w:tcW w:w="2610" w:type="dxa"/>
            <w:tcBorders/>
          </w:tcPr>
          <w:p>
            <w:pPr>
              <w:pStyle w:val="Normal"/>
              <w:snapToGrid w:val="false"/>
              <w:rPr>
                <w:rFonts w:ascii="Arial" w:hAnsi="Arial" w:cs="Arial"/>
                <w:sz w:val="24"/>
              </w:rPr>
            </w:pPr>
            <w:r>
              <w:rPr>
                <w:rFonts w:cs="Arial" w:ascii="Arial" w:hAnsi="Arial"/>
                <w:sz w:val="24"/>
              </w:rPr>
            </w:r>
          </w:p>
        </w:tc>
      </w:tr>
      <w:tr>
        <w:trPr>
          <w:trHeight w:val="600" w:hRule="exact"/>
        </w:trPr>
        <w:tc>
          <w:tcPr>
            <w:tcW w:w="898" w:type="dxa"/>
            <w:tcBorders>
              <w:bottom w:val="single" w:sz="12" w:space="0" w:color="000000"/>
            </w:tcBorders>
          </w:tcPr>
          <w:p>
            <w:pPr>
              <w:pStyle w:val="Normal"/>
              <w:ind w:start="-180" w:end="0"/>
              <w:jc w:val="end"/>
              <w:rPr>
                <w:rFonts w:ascii="Arial" w:hAnsi="Arial" w:cs="Arial"/>
              </w:rPr>
            </w:pPr>
            <w:r>
              <w:rPr>
                <w:rFonts w:cs="Arial" w:ascii="Arial" w:hAnsi="Arial"/>
              </w:rPr>
              <w:t>Subject:</w:t>
            </w:r>
          </w:p>
        </w:tc>
        <w:tc>
          <w:tcPr>
            <w:tcW w:w="5930" w:type="dxa"/>
            <w:tcBorders>
              <w:bottom w:val="single" w:sz="12" w:space="0" w:color="000000"/>
            </w:tcBorders>
          </w:tcPr>
          <w:p>
            <w:pPr>
              <w:pStyle w:val="Subject"/>
              <w:rPr>
                <w:sz w:val="24"/>
              </w:rPr>
            </w:pPr>
            <w:r>
              <w:rPr>
                <w:sz w:val="24"/>
              </w:rPr>
              <w:t>ClickAtHome—international program</w:t>
            </w:r>
          </w:p>
          <w:p>
            <w:pPr>
              <w:pStyle w:val="Subject"/>
              <w:rPr>
                <w:sz w:val="24"/>
              </w:rPr>
            </w:pPr>
            <w:r>
              <w:rPr>
                <w:sz w:val="24"/>
              </w:rPr>
              <w:t>Supplement to May 8 memo</w:t>
            </w:r>
          </w:p>
        </w:tc>
        <w:tc>
          <w:tcPr>
            <w:tcW w:w="1270" w:type="dxa"/>
            <w:tcBorders>
              <w:bottom w:val="single" w:sz="12" w:space="0" w:color="000000"/>
            </w:tcBorders>
          </w:tcPr>
          <w:p>
            <w:pPr>
              <w:pStyle w:val="Normal"/>
              <w:ind w:start="-180" w:end="0"/>
              <w:jc w:val="end"/>
              <w:rPr>
                <w:rFonts w:ascii="Arial" w:hAnsi="Arial" w:cs="Arial"/>
              </w:rPr>
            </w:pPr>
            <w:r>
              <w:rPr>
                <w:rFonts w:cs="Arial" w:ascii="Arial" w:hAnsi="Arial"/>
              </w:rPr>
              <w:t>Date:</w:t>
            </w:r>
          </w:p>
        </w:tc>
        <w:tc>
          <w:tcPr>
            <w:tcW w:w="2610" w:type="dxa"/>
            <w:tcBorders>
              <w:bottom w:val="single" w:sz="12" w:space="0" w:color="000000"/>
            </w:tcBorders>
          </w:tcPr>
          <w:p>
            <w:pPr>
              <w:pStyle w:val="Date"/>
              <w:rPr>
                <w:sz w:val="24"/>
              </w:rPr>
            </w:pPr>
            <w:r>
              <w:rPr>
                <w:sz w:val="24"/>
              </w:rPr>
              <w:t>May 18, 2001</w:t>
            </w:r>
          </w:p>
        </w:tc>
      </w:tr>
    </w:tbl>
    <w:p>
      <w:pPr>
        <w:pStyle w:val="Normal"/>
        <w:jc w:val="both"/>
        <w:rPr>
          <w:rFonts w:ascii="Arial" w:hAnsi="Arial" w:cs="Arial"/>
          <w:color w:val="000080"/>
          <w:sz w:val="24"/>
        </w:rPr>
      </w:pPr>
      <w:r>
        <w:rPr>
          <w:rFonts w:cs="Arial" w:ascii="Arial" w:hAnsi="Arial"/>
          <w:color w:val="000080"/>
          <w:sz w:val="24"/>
        </w:rPr>
      </w:r>
      <w:bookmarkStart w:id="1" w:name="StartOfMemo"/>
      <w:bookmarkStart w:id="2" w:name="StartOfMemo"/>
      <w:bookmarkEnd w:id="2"/>
    </w:p>
    <w:p>
      <w:pPr>
        <w:pStyle w:val="Normal"/>
        <w:jc w:val="both"/>
        <w:rPr>
          <w:rFonts w:ascii="Arial" w:hAnsi="Arial" w:cs="Arial"/>
          <w:color w:val="000080"/>
          <w:sz w:val="24"/>
        </w:rPr>
      </w:pPr>
      <w:r>
        <w:rPr>
          <w:rFonts w:cs="Arial" w:ascii="Arial" w:hAnsi="Arial"/>
          <w:color w:val="000080"/>
          <w:sz w:val="24"/>
        </w:rPr>
      </w:r>
    </w:p>
    <w:p>
      <w:pPr>
        <w:pStyle w:val="Normal"/>
        <w:jc w:val="both"/>
        <w:rPr/>
      </w:pPr>
      <w:r>
        <w:rPr>
          <w:rFonts w:cs="Arial" w:ascii="Arial" w:hAnsi="Arial"/>
          <w:sz w:val="24"/>
        </w:rPr>
        <w:t>You asked about whether there are “legal” aspects to the situation described in my earlier memo of May 8</w:t>
      </w:r>
      <w:r>
        <w:rPr>
          <w:rFonts w:cs="Arial" w:ascii="Arial" w:hAnsi="Arial"/>
          <w:sz w:val="24"/>
          <w:vertAlign w:val="superscript"/>
        </w:rPr>
        <w:t>th</w:t>
      </w:r>
      <w:r>
        <w:rPr>
          <w:rFonts w:cs="Arial" w:ascii="Arial" w:hAnsi="Arial"/>
          <w:sz w:val="24"/>
        </w:rPr>
        <w:t xml:space="preserve">.  Your recollection was correct—I think it is primarily a business matter.   However, I have constantly taken the position that I would not sign off on anything that is not in accord with what Messrs Lay and Skilling want and have told Marie (and I’m pretty sure I told Suzanne directly, but I know Marie told her) that Suzanne did not have the power or authority to drop business units and employees out of the program without Skilling’s approval.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Another aspect of this that might be considered “legal” is whether the modification of the program in ways that differ from prior announcements, etc. gives the adversely affected employees some claim that Enron breached a contract with them or some other rights they have.  Maybe, but as a practical matter, I doubt it would ever result in many actual claims or that in reality there would be much dollar exposure to Enron [one reason being that the dollar damages to employees would be low--ironically, this shows how little Enron gains in “savings” and how little Enron would be ‘damaged’ monetarily by simply giving the benefit in the first place—and another reason being that the only ones who would probably assert any such ‘rights’ are those employees who are leaving Enron anyway].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Although I think the dollar damages Enron might suffer are probably small, the damages to Enron in lost confidence, negative employee feelings, etc. will be anything but small (in my opinion).  </w:t>
      </w:r>
    </w:p>
    <w:p>
      <w:pPr>
        <w:pStyle w:val="Normal"/>
        <w:jc w:val="both"/>
        <w:rPr>
          <w:rFonts w:ascii="Arial" w:hAnsi="Arial" w:cs="Arial"/>
          <w:sz w:val="24"/>
        </w:rPr>
      </w:pPr>
      <w:r>
        <w:rPr>
          <w:rFonts w:cs="Arial" w:ascii="Arial" w:hAnsi="Arial"/>
          <w:sz w:val="24"/>
        </w:rPr>
      </w:r>
    </w:p>
    <w:p>
      <w:pPr>
        <w:pStyle w:val="Normal"/>
        <w:jc w:val="both"/>
        <w:rPr>
          <w:rFonts w:ascii="Arial" w:hAnsi="Arial" w:eastAsia="Arial" w:cs="Arial"/>
          <w:sz w:val="24"/>
        </w:rPr>
      </w:pPr>
      <w:r>
        <w:rPr>
          <w:rFonts w:eastAsia="Arial" w:cs="Arial" w:ascii="Arial" w:hAnsi="Arial"/>
          <w:sz w:val="24"/>
        </w:rPr>
        <w:t xml:space="preserve"> </w:t>
      </w:r>
    </w:p>
    <w:p>
      <w:pPr>
        <w:pStyle w:val="Normal"/>
        <w:jc w:val="both"/>
        <w:rPr>
          <w:rFonts w:ascii="Arial" w:hAnsi="Arial" w:cs="Arial"/>
          <w:sz w:val="24"/>
        </w:rPr>
      </w:pPr>
      <w:r>
        <w:rPr>
          <w:rFonts w:cs="Arial" w:ascii="Arial" w:hAnsi="Arial"/>
          <w:sz w:val="24"/>
        </w:rPr>
      </w:r>
    </w:p>
    <w:sectPr>
      <w:footerReference w:type="default" r:id="rId3"/>
      <w:type w:val="nextPage"/>
      <w:pgSz w:w="12240" w:h="15840"/>
      <w:pgMar w:left="720" w:right="720"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s>
      <w:rPr/>
    </w:pPr>
    <w:r>
      <w:rPr>
        <w:rFonts w:cs="Arial" w:ascii="Arial" w:hAnsi="Arial"/>
        <w:sz w:val="16"/>
      </w:rPr>
      <w:tab/>
    </w:r>
    <w:r>
      <w:rPr>
        <w:rFonts w:cs="Arial" w:ascii="Arial" w:hAnsi="Arial"/>
        <w:b/>
        <w:sz w:val="24"/>
      </w:rPr>
      <w:t>Endless possibilities</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2001-05-18T18:14:00Z</dcterms:created>
  <dc:creator>Cindy Richardson</dc:creator>
  <dc:description/>
  <dc:language>en-CA</dc:language>
  <cp:lastModifiedBy>jarmogi</cp:lastModifiedBy>
  <cp:lastPrinted>2001-05-18T16:35:00Z</cp:lastPrinted>
  <dcterms:modified xsi:type="dcterms:W3CDTF">2001-05-18T19:05:00Z</dcterms:modified>
  <cp:revision>3</cp:revision>
  <dc:subject/>
  <dc:title> </dc:title>
</cp:coreProperties>
</file>