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fldChar w:fldCharType="begin"/>
      </w:r>
      <w:r>
        <w:rPr/>
        <w:instrText xml:space="preserve"> ADVANCE \d 59 </w:instrText>
      </w:r>
      <w:r>
        <w:rPr/>
      </w:r>
      <w:r>
        <w:rPr/>
        <w:fldChar w:fldCharType="separate"/>
      </w:r>
      <w:r>
        <w:rPr/>
      </w:r>
      <w:r>
        <w:rPr/>
      </w:r>
      <w:r>
        <w:rPr/>
        <w:fldChar w:fldCharType="end"/>
      </w:r>
      <w:r>
        <w:rPr/>
        <w:t>M E M O R A N D U M</w:t>
      </w:r>
    </w:p>
    <w:p>
      <w:pPr>
        <w:pStyle w:val="Normal"/>
        <w:rPr/>
      </w:pPr>
      <w:r>
        <w:rPr/>
      </w:r>
    </w:p>
    <w:p>
      <w:pPr>
        <w:pStyle w:val="Normal"/>
        <w:rPr/>
      </w:pPr>
      <w:r>
        <w:rPr/>
      </w:r>
    </w:p>
    <w:p>
      <w:pPr>
        <w:pStyle w:val="Normal"/>
        <w:rPr/>
      </w:pPr>
      <w:r>
        <w:rPr/>
      </w:r>
    </w:p>
    <w:p>
      <w:pPr>
        <w:pStyle w:val="Normal"/>
        <w:rPr/>
      </w:pPr>
      <w:r>
        <w:rPr/>
        <w:t>TO:</w:t>
        <w:tab/>
        <w:tab/>
        <w:t>Ray Alvarez</w:t>
      </w:r>
    </w:p>
    <w:p>
      <w:pPr>
        <w:pStyle w:val="Normal"/>
        <w:rPr/>
      </w:pPr>
      <w:r>
        <w:rPr/>
        <w:tab/>
        <w:tab/>
        <w:t>Richard Sanders</w:t>
      </w:r>
    </w:p>
    <w:p>
      <w:pPr>
        <w:pStyle w:val="Normal"/>
        <w:rPr/>
      </w:pPr>
      <w:r>
        <w:rPr/>
        <w:tab/>
        <w:tab/>
        <w:t>Enron Corp.</w:t>
      </w:r>
    </w:p>
    <w:p>
      <w:pPr>
        <w:pStyle w:val="Normal"/>
        <w:rPr/>
      </w:pPr>
      <w:r>
        <w:rPr/>
      </w:r>
    </w:p>
    <w:p>
      <w:pPr>
        <w:pStyle w:val="Normal"/>
        <w:rPr/>
      </w:pPr>
      <w:r>
        <w:rPr/>
        <w:t>FROM:</w:t>
        <w:tab/>
        <w:t>Ron Carroll</w:t>
      </w:r>
    </w:p>
    <w:p>
      <w:pPr>
        <w:pStyle w:val="Normal"/>
        <w:rPr/>
      </w:pPr>
      <w:r>
        <w:rPr/>
        <w:tab/>
        <w:tab/>
        <w:t>Kim Curry</w:t>
      </w:r>
    </w:p>
    <w:p>
      <w:pPr>
        <w:pStyle w:val="Normal"/>
        <w:rPr/>
      </w:pPr>
      <w:r>
        <w:rPr/>
        <w:tab/>
        <w:tab/>
        <w:t>Bracewell &amp; Patterson, L.L.P.</w:t>
      </w:r>
    </w:p>
    <w:p>
      <w:pPr>
        <w:pStyle w:val="Normal"/>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ind w:hanging="1440" w:start="1440" w:end="0"/>
        <w:rPr/>
      </w:pPr>
      <w:r>
        <w:rPr/>
        <w:t>RE:</w:t>
        <w:tab/>
        <w:t>Status of Chargeback Proceeding, Docket No. EL01-36-000</w:t>
      </w:r>
    </w:p>
    <w:p>
      <w:pPr>
        <w:pStyle w:val="Normal"/>
        <w:rPr/>
      </w:pPr>
      <w:r>
        <w:rPr/>
      </w:r>
    </w:p>
    <w:p>
      <w:pPr>
        <w:pStyle w:val="Normal"/>
        <w:rPr/>
      </w:pPr>
      <w:r>
        <w:rPr/>
        <w:tab/>
        <w:t xml:space="preserve">Today, we participated in a conference call with representatives from several of the nine members of our chargeback complaint group, including Avista, Arizona Public Service Company, and PacifiCorp, regarding outstanding issues in the above-referenced proceeding. </w:t>
      </w:r>
      <w:bookmarkStart w:id="0" w:name="Mark"/>
      <w:bookmarkEnd w:id="0"/>
      <w:r>
        <w:rPr/>
        <w:t xml:space="preserve"> Howard Weg, attorney for Powerex in the CalPX bankruptcy proceeding, reported on the plan adopted by the Official Committee of Participant Creditors to resolve several issues in the CalPX chargeback proceeding, including the distribution of cash presently held in the CalPX’s settlement clearing accounts, the adoption of a methodology for allocating the short payments and defaults by Southern California Edison Company (“SCE”) and Pacific Gas &amp; Electric Company  (“PG&amp;E”) among the market participants, the release of the market participants’ collateral currently held by the CalPX, the adoption of a formula for allocating the market participants’ unpaid claims directly against and SCE and PG&amp;E, and the winding up of CalPX’s obligations, books, and records.  It is our understanding that, while not perfect, EPMI generally is supportive of this plan as a means to resolve this matter and have its collateral returned expeditiously.</w:t>
      </w:r>
    </w:p>
    <w:p>
      <w:pPr>
        <w:pStyle w:val="Normal"/>
        <w:rPr/>
      </w:pPr>
      <w:r>
        <w:rPr/>
      </w:r>
    </w:p>
    <w:p>
      <w:pPr>
        <w:pStyle w:val="Normal"/>
        <w:rPr/>
      </w:pPr>
      <w:r>
        <w:rPr/>
        <w:tab/>
        <w:t>At today’s conference call, the parties discussed the alternatives available for presenting this proposal to FERC as soon as possible.  Even though the chargeback issues are arguably related to the refund issues presently being considered in Docket No. EL00-95, the parties were unanimous in their agreement that the above proposal should not be raised in the refund proceeding due to concern that the chargeback issues would become lost therein, thereby delaying its resolution by FERC.  Instead, it was suggested that the Official Committee's plan should be presented to FERC in the chargeback docket itself as a stand-alone matter, and that the Official Committee would ideally be the appropriate party to present the proposal to FERC since it is its proposal, not that of the nine chargeback complainants.  However, as noted by several parties on the conference call, the Official Committee is not currently an intervenor in the chargeback proceeding; thus, it will need to file a motion to intervene out of time, and simultaneously file its proposal.  This suggestion was met with some reservation, because FERC does not typically view with favor motions to intervene out of time, after a substantive order has been issued.</w:t>
      </w:r>
    </w:p>
    <w:p>
      <w:pPr>
        <w:pStyle w:val="Normal"/>
        <w:rPr/>
      </w:pPr>
      <w:r>
        <w:rPr/>
      </w:r>
    </w:p>
    <w:p>
      <w:pPr>
        <w:pStyle w:val="Normal"/>
        <w:rPr/>
      </w:pPr>
      <w:r>
        <w:rPr/>
        <w:tab/>
        <w:t>Nevertheless, the parties seem to favor having the Official Committee move to intervene out of time in the FERC proceeding and file its proposal with FERC concurrently with the motion.  Mr. Weg committed to having a draft of the proposal circulated to the chargeback complainants (including EPMI) for comment by the end of the week.</w:t>
      </w:r>
    </w:p>
    <w:p>
      <w:pPr>
        <w:pStyle w:val="Normal"/>
        <w:rPr/>
      </w:pPr>
      <w:r>
        <w:rPr/>
      </w:r>
    </w:p>
    <w:p>
      <w:pPr>
        <w:pStyle w:val="Normal"/>
        <w:rPr/>
      </w:pPr>
      <w:r>
        <w:rPr/>
      </w:r>
    </w:p>
    <w:p>
      <w:pPr>
        <w:pStyle w:val="Normal"/>
        <w:jc w:val="center"/>
        <w:rPr/>
      </w:pPr>
      <w:r>
        <w:rPr/>
        <w:t>KAC</w:t>
      </w:r>
    </w:p>
    <w:p>
      <w:pPr>
        <w:pStyle w:val="Normal"/>
        <w:jc w:val="center"/>
        <w:rPr/>
      </w:pPr>
      <w:r>
        <w:rPr/>
      </w:r>
    </w:p>
    <w:p>
      <w:pPr>
        <w:pStyle w:val="Normal"/>
        <w:rPr/>
      </w:pPr>
      <w:r>
        <w:rPr/>
        <w:t>/kac</w:t>
      </w:r>
    </w:p>
    <w:p>
      <w:pPr>
        <w:pStyle w:val="Normal"/>
        <w:rPr/>
      </w:pPr>
      <w:r>
        <w:rPr/>
      </w:r>
    </w:p>
    <w:p>
      <w:pPr>
        <w:pStyle w:val="Normal"/>
        <w:rPr>
          <w:sz w:val="20"/>
        </w:rPr>
      </w:pPr>
      <w:r>
        <w:rPr>
          <w:sz w:val="20"/>
        </w:rPr>
        <w:t>146030</w:t>
      </w:r>
    </w:p>
    <w:sectPr>
      <w:headerReference w:type="default" r:id="rId2"/>
      <w:headerReference w:type="first" r:id="rId3"/>
      <w:type w:val="nextPage"/>
      <w:pgSz w:w="12240" w:h="15840"/>
      <w:pgMar w:left="1872" w:right="1728" w:gutter="0" w:header="720" w:top="965" w:footer="0" w:bottom="172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Memorandum to Messrs. Alvarez and Sanders</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txtAuthor" w:val="RNC"/>
    <w:docVar w:name="txtFrom" w:val="Ron Carroll"/>
    <w:docVar w:name="txtInitials" w:val="kac"/>
    <w:docVar w:name="txtRef" w:val="Status of Chargeback Proceeding, Coral Power et al., Docket No. EL01-36-000"/>
    <w:docVar w:name="txtTo" w:val="Ray Alvarez"/>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2001-07-30T19:35:00Z</dcterms:created>
  <dc:creator>Bracewell &amp; Patterson, L.L.P.</dc:creator>
  <dc:description/>
  <dc:language>en-CA</dc:language>
  <cp:lastModifiedBy>Bracewell &amp; Patterson, L.L.P.</cp:lastModifiedBy>
  <cp:lastPrinted>2001-07-30T17:16:00Z</cp:lastPrinted>
  <dcterms:modified xsi:type="dcterms:W3CDTF">2001-07-30T19:35:00Z</dcterms:modified>
  <cp:revision>2</cp:revision>
  <dc:subject/>
  <dc:title>M E M O R A N D U M</dc:title>
</cp:coreProperties>
</file>