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1440"/>
        <w:rPr/>
      </w:pPr>
      <w:r>
        <w:rPr/>
        <w:t>MEMORANDUM</w:t>
      </w:r>
    </w:p>
    <w:p>
      <w:pPr>
        <w:pStyle w:val="Normal"/>
        <w:keepLines/>
        <w:autoSpaceDE w:val="false"/>
        <w:spacing w:lineRule="atLeast" w:line="240"/>
        <w:ind w:start="1440" w:end="0"/>
        <w:rPr>
          <w:rFonts w:ascii="Arial" w:hAnsi="Arial" w:cs="Arial"/>
          <w:color w:val="000000"/>
          <w:sz w:val="20"/>
          <w:szCs w:val="20"/>
        </w:rPr>
      </w:pPr>
      <w:r>
        <w:rPr>
          <w:rFonts w:cs="Arial" w:ascii="Arial" w:hAnsi="Arial"/>
          <w:color w:val="000000"/>
          <w:sz w:val="20"/>
          <w:szCs w:val="20"/>
        </w:rPr>
      </w:r>
    </w:p>
    <w:p>
      <w:pPr>
        <w:pStyle w:val="Normal"/>
        <w:keepLines/>
        <w:autoSpaceDE w:val="false"/>
        <w:spacing w:lineRule="atLeast" w:line="240"/>
        <w:ind w:start="1440" w:end="1440"/>
        <w:rPr>
          <w:rFonts w:ascii="Arial" w:hAnsi="Arial" w:cs="Arial"/>
          <w:b/>
          <w:bCs/>
          <w:color w:val="000000"/>
          <w:sz w:val="20"/>
          <w:szCs w:val="20"/>
        </w:rPr>
      </w:pPr>
      <w:r>
        <w:rPr>
          <w:rFonts w:cs="Arial" w:ascii="Arial" w:hAnsi="Arial"/>
          <w:b/>
          <w:bCs/>
          <w:color w:val="000000"/>
          <w:sz w:val="20"/>
          <w:szCs w:val="20"/>
        </w:rPr>
        <w:t>To:</w:t>
        <w:tab/>
        <w:tab/>
        <w:t>The Industrial Bank of Japan, Limited</w:t>
      </w:r>
    </w:p>
    <w:p>
      <w:pPr>
        <w:pStyle w:val="Normal"/>
        <w:keepLines/>
        <w:autoSpaceDE w:val="false"/>
        <w:spacing w:lineRule="atLeast" w:line="240"/>
        <w:ind w:start="1440" w:end="0"/>
        <w:rPr>
          <w:rFonts w:ascii="Arial" w:hAnsi="Arial" w:cs="Arial"/>
          <w:b/>
          <w:bCs/>
          <w:color w:val="000000"/>
          <w:sz w:val="20"/>
          <w:szCs w:val="20"/>
        </w:rPr>
      </w:pPr>
      <w:r>
        <w:rPr>
          <w:rFonts w:cs="Arial" w:ascii="Arial" w:hAnsi="Arial"/>
          <w:b/>
          <w:bCs/>
          <w:color w:val="000000"/>
          <w:sz w:val="20"/>
          <w:szCs w:val="20"/>
        </w:rPr>
        <w:t>From:</w:t>
        <w:tab/>
        <w:tab/>
        <w:t>Enron Japan, Corp.</w:t>
      </w:r>
    </w:p>
    <w:p>
      <w:pPr>
        <w:pStyle w:val="Normal"/>
        <w:keepLines/>
        <w:autoSpaceDE w:val="false"/>
        <w:spacing w:lineRule="atLeast" w:line="240"/>
        <w:ind w:start="1440" w:end="0"/>
        <w:rPr>
          <w:rFonts w:ascii="Arial" w:hAnsi="Arial" w:cs="Arial"/>
          <w:b/>
          <w:bCs/>
          <w:color w:val="000000"/>
          <w:sz w:val="20"/>
          <w:szCs w:val="20"/>
        </w:rPr>
      </w:pPr>
      <w:r>
        <w:rPr>
          <w:rFonts w:cs="Arial" w:ascii="Arial" w:hAnsi="Arial"/>
          <w:b/>
          <w:bCs/>
          <w:color w:val="000000"/>
          <w:sz w:val="20"/>
          <w:szCs w:val="20"/>
        </w:rPr>
        <w:t>Date:</w:t>
        <w:tab/>
        <w:tab/>
        <w:t>November 6, 2000</w:t>
      </w:r>
    </w:p>
    <w:p>
      <w:pPr>
        <w:pStyle w:val="Normal"/>
        <w:keepLines/>
        <w:autoSpaceDE w:val="false"/>
        <w:spacing w:lineRule="atLeast" w:line="240"/>
        <w:ind w:start="1440" w:end="0"/>
        <w:rPr>
          <w:rFonts w:ascii="Arial" w:hAnsi="Arial" w:cs="Arial"/>
          <w:b/>
          <w:bCs/>
          <w:color w:val="000000"/>
          <w:sz w:val="20"/>
          <w:szCs w:val="20"/>
        </w:rPr>
      </w:pPr>
      <w:r>
        <w:rPr>
          <w:rFonts w:cs="Arial" w:ascii="Arial" w:hAnsi="Arial"/>
          <w:b/>
          <w:bCs/>
          <w:color w:val="000000"/>
          <w:sz w:val="20"/>
          <w:szCs w:val="20"/>
        </w:rPr>
        <w:t>Re:</w:t>
        <w:tab/>
        <w:tab/>
        <w:t xml:space="preserve">ISDA Master Agreement </w:t>
      </w:r>
    </w:p>
    <w:p>
      <w:pPr>
        <w:pStyle w:val="Normal"/>
        <w:keepLines/>
        <w:pBdr>
          <w:bottom w:val="single" w:sz="12" w:space="1" w:color="000000"/>
        </w:pBdr>
        <w:autoSpaceDE w:val="false"/>
        <w:spacing w:lineRule="atLeast" w:line="240"/>
        <w:ind w:start="1440" w:end="0"/>
        <w:rPr>
          <w:rFonts w:ascii="Arial" w:hAnsi="Arial" w:cs="Arial"/>
          <w:b/>
          <w:bCs/>
          <w:color w:val="000000"/>
          <w:sz w:val="20"/>
          <w:szCs w:val="20"/>
        </w:rPr>
      </w:pPr>
      <w:r>
        <w:rPr>
          <w:rFonts w:cs="Arial" w:ascii="Arial" w:hAnsi="Arial"/>
          <w:b/>
          <w:bCs/>
          <w:color w:val="000000"/>
          <w:sz w:val="20"/>
          <w:szCs w:val="20"/>
        </w:rPr>
      </w:r>
    </w:p>
    <w:p>
      <w:pPr>
        <w:pStyle w:val="Normal"/>
        <w:keepLines/>
        <w:autoSpaceDE w:val="false"/>
        <w:spacing w:lineRule="atLeast" w:line="240"/>
        <w:ind w:start="1440" w:end="-360"/>
        <w:rPr>
          <w:rFonts w:ascii="Arial" w:hAnsi="Arial" w:cs="Arial"/>
          <w:b/>
          <w:bCs/>
          <w:color w:val="000000"/>
          <w:sz w:val="20"/>
          <w:szCs w:val="20"/>
        </w:rPr>
      </w:pPr>
      <w:r>
        <w:rPr>
          <w:rFonts w:cs="Arial" w:ascii="Arial" w:hAnsi="Arial"/>
          <w:b/>
          <w:bCs/>
          <w:color w:val="000000"/>
          <w:sz w:val="20"/>
          <w:szCs w:val="20"/>
        </w:rPr>
      </w:r>
    </w:p>
    <w:p>
      <w:pPr>
        <w:pStyle w:val="Normal"/>
        <w:keepLines/>
        <w:tabs>
          <w:tab w:val="clear" w:pos="720"/>
          <w:tab w:val="left" w:pos="10800" w:leader="none"/>
        </w:tabs>
        <w:autoSpaceDE w:val="false"/>
        <w:spacing w:lineRule="atLeast" w:line="240"/>
        <w:ind w:start="1440" w:end="0"/>
        <w:rPr>
          <w:rFonts w:ascii="Arial" w:hAnsi="Arial" w:cs="Arial"/>
          <w:color w:val="000000"/>
          <w:sz w:val="20"/>
          <w:szCs w:val="20"/>
        </w:rPr>
      </w:pPr>
      <w:r>
        <w:rPr>
          <w:rFonts w:cs="Arial" w:ascii="Arial" w:hAnsi="Arial"/>
          <w:color w:val="000000"/>
          <w:sz w:val="20"/>
          <w:szCs w:val="20"/>
        </w:rPr>
        <w:t xml:space="preserve">We refer to your email of September 19, 2000 and the amendments you proposed to our August 30 draft of the ISDA Master Agreement between our two companies.  We have set out below our responses to your various comments together, for convenience, with your comments in italics.  </w:t>
      </w:r>
    </w:p>
    <w:p>
      <w:pPr>
        <w:pStyle w:val="Normal"/>
        <w:keepLines/>
        <w:tabs>
          <w:tab w:val="clear" w:pos="720"/>
          <w:tab w:val="left" w:pos="10800" w:leader="none"/>
        </w:tabs>
        <w:autoSpaceDE w:val="false"/>
        <w:spacing w:lineRule="atLeast" w:line="240"/>
        <w:ind w:start="1440" w:end="0"/>
        <w:rPr>
          <w:rFonts w:ascii="Arial" w:hAnsi="Arial" w:cs="Arial"/>
          <w:color w:val="000000"/>
          <w:sz w:val="20"/>
          <w:szCs w:val="20"/>
        </w:rPr>
      </w:pPr>
      <w:r>
        <w:rPr>
          <w:rFonts w:cs="Arial" w:ascii="Arial" w:hAnsi="Arial"/>
          <w:color w:val="000000"/>
          <w:sz w:val="20"/>
          <w:szCs w:val="20"/>
        </w:rPr>
      </w:r>
    </w:p>
    <w:p>
      <w:pPr>
        <w:pStyle w:val="Heading1"/>
        <w:rPr>
          <w:u w:val="none"/>
        </w:rPr>
      </w:pPr>
      <w:r>
        <w:rPr>
          <w:u w:val="none"/>
        </w:rPr>
        <w:t>CSA</w:t>
      </w:r>
    </w:p>
    <w:p>
      <w:pPr>
        <w:pStyle w:val="Normal"/>
        <w:keepLines/>
        <w:autoSpaceDE w:val="false"/>
        <w:spacing w:lineRule="atLeast" w:line="240"/>
        <w:ind w:start="1440" w:end="0"/>
        <w:rPr>
          <w:rFonts w:ascii="Arial" w:hAnsi="Arial" w:cs="Arial"/>
          <w:color w:val="000000"/>
          <w:sz w:val="20"/>
          <w:szCs w:val="20"/>
          <w:u w:val="none"/>
        </w:rPr>
      </w:pPr>
      <w:r>
        <w:rPr>
          <w:rFonts w:cs="Arial" w:ascii="Arial" w:hAnsi="Arial"/>
          <w:color w:val="000000"/>
          <w:sz w:val="20"/>
          <w:szCs w:val="20"/>
          <w:u w:val="none"/>
        </w:rPr>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t>In terms of CSA, as we are not ready for running collateral operations, we still do not prefer to use the CSA.</w:t>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r>
    </w:p>
    <w:p>
      <w:pPr>
        <w:pStyle w:val="Normal"/>
        <w:keepLines/>
        <w:autoSpaceDE w:val="false"/>
        <w:spacing w:lineRule="atLeast" w:line="240"/>
        <w:ind w:start="1440" w:end="0"/>
        <w:rPr>
          <w:rFonts w:ascii="Arial" w:hAnsi="Arial" w:cs="Arial"/>
          <w:color w:val="000000"/>
          <w:sz w:val="20"/>
          <w:szCs w:val="20"/>
        </w:rPr>
      </w:pPr>
      <w:r>
        <w:rPr>
          <w:rFonts w:cs="Arial" w:ascii="Arial" w:hAnsi="Arial"/>
          <w:color w:val="000000"/>
          <w:sz w:val="20"/>
          <w:szCs w:val="20"/>
        </w:rPr>
        <w:t xml:space="preserve">Enron’s clear policy is to have CSAs in place with all our trading partners because of the mutual protection a CSA gives and because of the simplicity this brings to credit administration.  We acknowledge however our position as a new player in the Japanese market and at the same time the significant size of your bank’s presence in this market and perhaps more importantly from your perspective it would seem, the fact that, despite the nature of our business activities here and elsewhere, we are not a licensed bank.  (Please note however that since you have CSAs in place with banks we do not really understand your logistical problems in having one with us.) </w:t>
      </w:r>
    </w:p>
    <w:p>
      <w:pPr>
        <w:pStyle w:val="Normal"/>
        <w:keepLines/>
        <w:autoSpaceDE w:val="false"/>
        <w:spacing w:lineRule="atLeast" w:line="240"/>
        <w:ind w:start="1440" w:end="0"/>
        <w:rPr>
          <w:rFonts w:ascii="Arial" w:hAnsi="Arial" w:cs="Arial"/>
          <w:color w:val="000000"/>
          <w:sz w:val="20"/>
          <w:szCs w:val="20"/>
        </w:rPr>
      </w:pPr>
      <w:r>
        <w:rPr>
          <w:rFonts w:cs="Arial" w:ascii="Arial" w:hAnsi="Arial"/>
          <w:color w:val="000000"/>
          <w:sz w:val="20"/>
          <w:szCs w:val="20"/>
        </w:rPr>
      </w:r>
    </w:p>
    <w:p>
      <w:pPr>
        <w:pStyle w:val="BodyTextIndent"/>
        <w:rPr/>
      </w:pPr>
      <w:r>
        <w:rPr/>
        <w:t>For this reason we would like to propose a type of credit matrix arrangement on an interim basis.  If we can agree the specifics of the matrix, we would do business pursuant to the terms of that arrangement for the time being on the understanding that in due course, after we have established a track record with you and our companies have been able to build up a relationship of mutual trust and confidence, we will approach you again about putting a CSA in place.</w:t>
      </w:r>
    </w:p>
    <w:p>
      <w:pPr>
        <w:pStyle w:val="Normal"/>
        <w:keepLines/>
        <w:autoSpaceDE w:val="false"/>
        <w:spacing w:lineRule="atLeast" w:line="240"/>
        <w:ind w:start="1440" w:end="0"/>
        <w:rPr>
          <w:rFonts w:ascii="Arial" w:hAnsi="Arial" w:cs="Arial"/>
          <w:color w:val="000000"/>
          <w:sz w:val="20"/>
          <w:szCs w:val="20"/>
        </w:rPr>
      </w:pPr>
      <w:r>
        <w:rPr>
          <w:rFonts w:cs="Arial" w:ascii="Arial" w:hAnsi="Arial"/>
          <w:color w:val="000000"/>
          <w:sz w:val="20"/>
          <w:szCs w:val="20"/>
        </w:rPr>
      </w:r>
    </w:p>
    <w:p>
      <w:pPr>
        <w:pStyle w:val="Normal"/>
        <w:keepLines/>
        <w:autoSpaceDE w:val="false"/>
        <w:spacing w:lineRule="atLeast" w:line="240"/>
        <w:ind w:start="1440" w:end="0"/>
        <w:rPr/>
      </w:pPr>
      <w:r>
        <w:rPr>
          <w:rFonts w:cs="Arial" w:ascii="Arial" w:hAnsi="Arial"/>
          <w:color w:val="000000"/>
          <w:sz w:val="20"/>
          <w:szCs w:val="20"/>
        </w:rPr>
        <w:t xml:space="preserve">What we have called a “credit matrix” </w:t>
      </w:r>
      <w:r>
        <w:rPr>
          <w:rFonts w:cs="Helv;Arial" w:ascii="Helv;Arial" w:hAnsi="Helv;Arial"/>
          <w:color w:val="000000"/>
          <w:sz w:val="20"/>
          <w:szCs w:val="20"/>
        </w:rPr>
        <w:t xml:space="preserve">prescribes a credit line under which each counterparty can transact.  The matrix contains collateral rights and collateral thresholds tied to the credit rating of each counterparty.  They can be appealing because unlike a full CSA, there are no material adverse change clauses.  </w:t>
      </w:r>
    </w:p>
    <w:p>
      <w:pPr>
        <w:pStyle w:val="Normal"/>
        <w:keepLines/>
        <w:autoSpaceDE w:val="false"/>
        <w:spacing w:lineRule="atLeast" w:line="240"/>
        <w:ind w:start="1440" w:end="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ind w:start="1440" w:end="0"/>
        <w:rPr>
          <w:rFonts w:ascii="Helv;Arial" w:hAnsi="Helv;Arial" w:cs="Helv;Arial"/>
          <w:color w:val="000000"/>
          <w:sz w:val="20"/>
          <w:szCs w:val="20"/>
        </w:rPr>
      </w:pPr>
      <w:r>
        <w:rPr>
          <w:rFonts w:cs="Helv;Arial" w:ascii="Helv;Arial" w:hAnsi="Helv;Arial"/>
          <w:color w:val="000000"/>
          <w:sz w:val="20"/>
          <w:szCs w:val="20"/>
        </w:rPr>
        <w:t>If you agree to this concept we will draft the necessary provisions.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ind w:firstLine="720" w:start="720" w:end="0"/>
        <w:rPr>
          <w:rFonts w:ascii="Helv;Arial" w:hAnsi="Helv;Arial" w:cs="Helv;Arial"/>
          <w:color w:val="000000"/>
          <w:sz w:val="20"/>
          <w:szCs w:val="20"/>
          <w:u w:val="single"/>
        </w:rPr>
      </w:pPr>
      <w:r>
        <w:rPr>
          <w:rFonts w:cs="Helv;Arial" w:ascii="Helv;Arial" w:hAnsi="Helv;Arial"/>
          <w:color w:val="000000"/>
          <w:sz w:val="20"/>
          <w:szCs w:val="20"/>
          <w:u w:val="single"/>
        </w:rPr>
        <w:t>Rating (S&amp;P)</w:t>
        <w:tab/>
        <w:tab/>
        <w:tab/>
        <w:tab/>
        <w:tab/>
        <w:t>Credit Line</w:t>
      </w:r>
    </w:p>
    <w:p>
      <w:pPr>
        <w:pStyle w:val="Normal"/>
        <w:autoSpaceDE w:val="false"/>
        <w:spacing w:lineRule="atLeast" w:line="240"/>
        <w:ind w:firstLine="720" w:start="720" w:end="0"/>
        <w:rPr>
          <w:rFonts w:ascii="Helv;Arial" w:hAnsi="Helv;Arial" w:cs="Helv;Arial"/>
          <w:color w:val="000000"/>
          <w:sz w:val="20"/>
          <w:szCs w:val="20"/>
        </w:rPr>
      </w:pPr>
      <w:r>
        <w:rPr>
          <w:rFonts w:cs="Helv;Arial" w:ascii="Helv;Arial" w:hAnsi="Helv;Arial"/>
          <w:color w:val="000000"/>
          <w:sz w:val="20"/>
          <w:szCs w:val="20"/>
        </w:rPr>
        <w:t>AA or above</w:t>
        <w:tab/>
        <w:tab/>
        <w:tab/>
        <w:tab/>
        <w:tab/>
        <w:t>$20MM</w:t>
      </w:r>
    </w:p>
    <w:p>
      <w:pPr>
        <w:pStyle w:val="Normal"/>
        <w:autoSpaceDE w:val="false"/>
        <w:spacing w:lineRule="atLeast" w:line="240"/>
        <w:ind w:firstLine="720" w:start="720" w:end="0"/>
        <w:rPr>
          <w:rFonts w:ascii="Helv;Arial" w:hAnsi="Helv;Arial" w:cs="Helv;Arial"/>
          <w:color w:val="000000"/>
          <w:sz w:val="20"/>
          <w:szCs w:val="20"/>
        </w:rPr>
      </w:pPr>
      <w:r>
        <w:rPr>
          <w:rFonts w:cs="Helv;Arial" w:ascii="Helv;Arial" w:hAnsi="Helv;Arial"/>
          <w:color w:val="000000"/>
          <w:sz w:val="20"/>
          <w:szCs w:val="20"/>
        </w:rPr>
        <w:t>BBB+ to AA-</w:t>
        <w:tab/>
        <w:tab/>
        <w:tab/>
        <w:tab/>
        <w:tab/>
        <w:t>$15MM</w:t>
      </w:r>
    </w:p>
    <w:p>
      <w:pPr>
        <w:pStyle w:val="Normal"/>
        <w:autoSpaceDE w:val="false"/>
        <w:spacing w:lineRule="atLeast" w:line="240"/>
        <w:ind w:firstLine="720" w:start="720" w:end="0"/>
        <w:rPr>
          <w:rFonts w:ascii="Helv;Arial" w:hAnsi="Helv;Arial" w:cs="Helv;Arial"/>
          <w:color w:val="000000"/>
          <w:sz w:val="20"/>
          <w:szCs w:val="20"/>
        </w:rPr>
      </w:pPr>
      <w:r>
        <w:rPr>
          <w:rFonts w:cs="Helv;Arial" w:ascii="Helv;Arial" w:hAnsi="Helv;Arial"/>
          <w:color w:val="000000"/>
          <w:sz w:val="20"/>
          <w:szCs w:val="20"/>
        </w:rPr>
        <w:t>BBB</w:t>
        <w:tab/>
        <w:tab/>
        <w:tab/>
        <w:tab/>
        <w:tab/>
        <w:tab/>
        <w:t>$10MM</w:t>
      </w:r>
    </w:p>
    <w:p>
      <w:pPr>
        <w:pStyle w:val="Normal"/>
        <w:autoSpaceDE w:val="false"/>
        <w:spacing w:lineRule="atLeast" w:line="240"/>
        <w:ind w:firstLine="720" w:start="720" w:end="0"/>
        <w:rPr>
          <w:rFonts w:ascii="Helv;Arial" w:hAnsi="Helv;Arial" w:cs="Helv;Arial"/>
          <w:color w:val="000000"/>
          <w:sz w:val="20"/>
          <w:szCs w:val="20"/>
        </w:rPr>
      </w:pPr>
      <w:r>
        <w:rPr>
          <w:rFonts w:cs="Helv;Arial" w:ascii="Helv;Arial" w:hAnsi="Helv;Arial"/>
          <w:color w:val="000000"/>
          <w:sz w:val="20"/>
          <w:szCs w:val="20"/>
        </w:rPr>
        <w:t>BBB-</w:t>
        <w:tab/>
        <w:tab/>
        <w:tab/>
        <w:tab/>
        <w:tab/>
        <w:tab/>
        <w:t>$7MM</w:t>
      </w:r>
    </w:p>
    <w:p>
      <w:pPr>
        <w:pStyle w:val="Normal"/>
        <w:autoSpaceDE w:val="false"/>
        <w:spacing w:lineRule="atLeast" w:line="240"/>
        <w:ind w:firstLine="720" w:start="720" w:end="0"/>
        <w:rPr>
          <w:rFonts w:ascii="Helv;Arial" w:hAnsi="Helv;Arial" w:cs="Helv;Arial"/>
          <w:color w:val="000000"/>
          <w:sz w:val="20"/>
          <w:szCs w:val="20"/>
        </w:rPr>
      </w:pPr>
      <w:r>
        <w:rPr>
          <w:rFonts w:cs="Helv;Arial" w:ascii="Helv;Arial" w:hAnsi="Helv;Arial"/>
          <w:color w:val="000000"/>
          <w:sz w:val="20"/>
          <w:szCs w:val="20"/>
        </w:rPr>
        <w:t>BB- to BB+</w:t>
        <w:tab/>
        <w:tab/>
        <w:tab/>
        <w:tab/>
        <w:tab/>
        <w:t>$5MM</w:t>
      </w:r>
    </w:p>
    <w:p>
      <w:pPr>
        <w:pStyle w:val="Normal"/>
        <w:keepLines/>
        <w:autoSpaceDE w:val="false"/>
        <w:spacing w:lineRule="atLeast" w:line="240"/>
        <w:ind w:start="1440" w:end="0"/>
        <w:rPr>
          <w:rFonts w:ascii="Helv;Arial" w:hAnsi="Helv;Arial" w:cs="Helv;Arial"/>
          <w:color w:val="000000"/>
          <w:sz w:val="20"/>
          <w:szCs w:val="20"/>
        </w:rPr>
      </w:pPr>
      <w:r>
        <w:rPr>
          <w:rFonts w:cs="Helv;Arial" w:ascii="Helv;Arial" w:hAnsi="Helv;Arial"/>
          <w:color w:val="000000"/>
          <w:sz w:val="20"/>
          <w:szCs w:val="20"/>
        </w:rPr>
        <w:t>Below BB-</w:t>
        <w:tab/>
        <w:tab/>
        <w:tab/>
        <w:tab/>
        <w:tab/>
        <w:t>$1MM</w:t>
      </w:r>
    </w:p>
    <w:p>
      <w:pPr>
        <w:pStyle w:val="Normal"/>
        <w:keepLines/>
        <w:autoSpaceDE w:val="false"/>
        <w:spacing w:lineRule="atLeast" w:line="240"/>
        <w:ind w:start="1440" w:end="0"/>
        <w:rPr>
          <w:rFonts w:ascii="Helv;Arial" w:hAnsi="Helv;Arial" w:cs="Helv;Arial"/>
          <w:color w:val="000000"/>
          <w:sz w:val="20"/>
          <w:szCs w:val="20"/>
        </w:rPr>
      </w:pPr>
      <w:r>
        <w:rPr>
          <w:rFonts w:cs="Helv;Arial" w:ascii="Helv;Arial" w:hAnsi="Helv;Arial"/>
          <w:color w:val="000000"/>
          <w:sz w:val="20"/>
          <w:szCs w:val="20"/>
        </w:rPr>
      </w:r>
    </w:p>
    <w:p>
      <w:pPr>
        <w:pStyle w:val="Heading2"/>
        <w:rPr/>
      </w:pPr>
      <w:r>
        <w:rPr/>
        <w:t>Part 1</w:t>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t>(b)</w:t>
        <w:tab/>
        <w:t>US$50,000,000</w:t>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r>
    </w:p>
    <w:p>
      <w:pPr>
        <w:pStyle w:val="Normal"/>
        <w:keepLines/>
        <w:autoSpaceDE w:val="false"/>
        <w:spacing w:lineRule="atLeast" w:line="240"/>
        <w:ind w:start="1440" w:end="0"/>
        <w:rPr>
          <w:rFonts w:ascii="Arial" w:hAnsi="Arial" w:cs="Arial"/>
          <w:color w:val="000000"/>
          <w:sz w:val="20"/>
          <w:szCs w:val="20"/>
        </w:rPr>
      </w:pPr>
      <w:r>
        <w:rPr>
          <w:rFonts w:cs="Arial" w:ascii="Arial" w:hAnsi="Arial"/>
          <w:color w:val="000000"/>
          <w:sz w:val="20"/>
          <w:szCs w:val="20"/>
        </w:rPr>
        <w:t>It would appear from your amendments to our draft that you have agreed that the Threshold Amount can be US$50,000,000.</w:t>
      </w:r>
    </w:p>
    <w:p>
      <w:pPr>
        <w:pStyle w:val="Normal"/>
        <w:keepLines/>
        <w:autoSpaceDE w:val="false"/>
        <w:spacing w:lineRule="atLeast" w:line="240"/>
        <w:ind w:start="1440" w:end="0"/>
        <w:rPr>
          <w:rFonts w:ascii="Arial" w:hAnsi="Arial" w:eastAsia="Arial" w:cs="Arial"/>
          <w:b/>
          <w:bCs/>
          <w:i/>
          <w:i/>
          <w:iCs/>
          <w:color w:val="000000"/>
          <w:sz w:val="20"/>
          <w:szCs w:val="20"/>
        </w:rPr>
      </w:pPr>
      <w:r>
        <w:rPr>
          <w:rFonts w:eastAsia="Arial" w:cs="Arial" w:ascii="Arial" w:hAnsi="Arial"/>
          <w:b/>
          <w:bCs/>
          <w:i/>
          <w:iCs/>
          <w:color w:val="000000"/>
          <w:sz w:val="20"/>
          <w:szCs w:val="20"/>
        </w:rPr>
        <w:t xml:space="preserve"> </w:t>
      </w:r>
    </w:p>
    <w:p>
      <w:pPr>
        <w:pStyle w:val="Normal"/>
        <w:keepLines/>
        <w:numPr>
          <w:ilvl w:val="0"/>
          <w:numId w:val="3"/>
        </w:numPr>
        <w:autoSpaceDE w:val="false"/>
        <w:spacing w:lineRule="atLeast" w:line="240"/>
        <w:rPr>
          <w:rFonts w:ascii="Arial" w:hAnsi="Arial" w:cs="Arial"/>
          <w:b/>
          <w:bCs/>
          <w:i/>
          <w:i/>
          <w:iCs/>
          <w:color w:val="000000"/>
          <w:sz w:val="20"/>
          <w:szCs w:val="20"/>
        </w:rPr>
      </w:pPr>
      <w:r>
        <w:rPr>
          <w:rFonts w:cs="Arial" w:ascii="Arial" w:hAnsi="Arial"/>
          <w:b/>
          <w:bCs/>
          <w:i/>
          <w:iCs/>
          <w:color w:val="000000"/>
          <w:sz w:val="20"/>
          <w:szCs w:val="20"/>
        </w:rPr>
        <w:t>We prefer to terminate the Transactions when as a result of merger as for a party, a surviving party of such becomes materially weaker than before.</w:t>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r>
    </w:p>
    <w:p>
      <w:pPr>
        <w:pStyle w:val="BodyTextIndent"/>
        <w:rPr/>
      </w:pPr>
      <w:r>
        <w:rPr/>
        <w:t>We would prefer not to amend this language because the aim must always be to preserve the transaction to the extent possible.  In our view, this additional language provides more flexibility without any credit risk to the other party.  Please explain your specific concern.</w:t>
      </w:r>
    </w:p>
    <w:p>
      <w:pPr>
        <w:pStyle w:val="BodyTextIndent"/>
        <w:rPr>
          <w:b/>
          <w:bCs/>
          <w:i/>
          <w:i/>
          <w:iCs/>
        </w:rPr>
      </w:pPr>
      <w:r>
        <w:rPr>
          <w:b/>
          <w:bCs/>
          <w:i/>
          <w:iCs/>
        </w:rPr>
      </w:r>
    </w:p>
    <w:p>
      <w:pPr>
        <w:pStyle w:val="BodyTextIndent"/>
        <w:numPr>
          <w:ilvl w:val="0"/>
          <w:numId w:val="5"/>
        </w:numPr>
        <w:rPr>
          <w:b/>
          <w:bCs/>
          <w:i/>
          <w:i/>
          <w:iCs/>
        </w:rPr>
      </w:pPr>
      <w:r>
        <w:rPr>
          <w:b/>
          <w:bCs/>
          <w:i/>
          <w:iCs/>
        </w:rPr>
        <w:t>Termination Currency</w:t>
      </w:r>
    </w:p>
    <w:p>
      <w:pPr>
        <w:pStyle w:val="BodyTextIndent"/>
        <w:rPr>
          <w:b/>
          <w:bCs/>
          <w:i/>
          <w:i/>
          <w:iCs/>
        </w:rPr>
      </w:pPr>
      <w:r>
        <w:rPr>
          <w:b/>
          <w:bCs/>
          <w:i/>
          <w:iCs/>
        </w:rPr>
      </w:r>
    </w:p>
    <w:p>
      <w:pPr>
        <w:pStyle w:val="BodyTextIndent"/>
        <w:rPr/>
      </w:pPr>
      <w:r>
        <w:rPr/>
        <w:t xml:space="preserve">We have used “Yen” and not “Japanese Yen” because this is what is used in the ISDA 1991 definitions. </w:t>
      </w:r>
    </w:p>
    <w:p>
      <w:pPr>
        <w:pStyle w:val="BodyTextIndent"/>
        <w:rPr>
          <w:b/>
          <w:bCs/>
          <w:i/>
          <w:i/>
          <w:iCs/>
        </w:rPr>
      </w:pPr>
      <w:r>
        <w:rPr>
          <w:b/>
          <w:bCs/>
          <w:i/>
          <w:iCs/>
        </w:rPr>
      </w:r>
    </w:p>
    <w:p>
      <w:pPr>
        <w:pStyle w:val="BodyTextIndent"/>
        <w:numPr>
          <w:ilvl w:val="0"/>
          <w:numId w:val="7"/>
        </w:numPr>
        <w:rPr>
          <w:b/>
          <w:bCs/>
          <w:i/>
          <w:i/>
          <w:iCs/>
        </w:rPr>
      </w:pPr>
      <w:r>
        <w:rPr>
          <w:b/>
          <w:bCs/>
          <w:i/>
          <w:iCs/>
        </w:rPr>
        <w:t>“</w:t>
      </w:r>
      <w:r>
        <w:rPr>
          <w:b/>
          <w:bCs/>
          <w:i/>
          <w:iCs/>
        </w:rPr>
        <w:t>Contractual Currency”</w:t>
      </w:r>
    </w:p>
    <w:p>
      <w:pPr>
        <w:pStyle w:val="BodyTextIndent"/>
        <w:rPr>
          <w:b/>
          <w:bCs/>
          <w:i/>
          <w:i/>
          <w:iCs/>
        </w:rPr>
      </w:pPr>
      <w:r>
        <w:rPr>
          <w:b/>
          <w:bCs/>
          <w:i/>
          <w:iCs/>
        </w:rPr>
      </w:r>
    </w:p>
    <w:p>
      <w:pPr>
        <w:pStyle w:val="BodyTextIndent"/>
        <w:rPr/>
      </w:pPr>
      <w:r>
        <w:rPr/>
        <w:t>We would prefer to retain this definition just in case any of the products we trade are not yen denominated.  The words “unless otherwise specified in a Confirmation” should give you comfort.  This sort of provision just helps to achieve clarity on a transaction-by-transaction basis and saves back-office resources.</w:t>
      </w:r>
    </w:p>
    <w:p>
      <w:pPr>
        <w:pStyle w:val="BodyTextIndent"/>
        <w:rPr>
          <w:b/>
          <w:bCs/>
          <w:i/>
          <w:i/>
          <w:iCs/>
        </w:rPr>
      </w:pPr>
      <w:r>
        <w:rPr>
          <w:b/>
          <w:bCs/>
          <w:i/>
          <w:iCs/>
        </w:rPr>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t>Part 3</w:t>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t>We usually accept to deliver a copy the list of authorized signatures only.</w:t>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r>
    </w:p>
    <w:p>
      <w:pPr>
        <w:pStyle w:val="Normal"/>
        <w:keepLines/>
        <w:autoSpaceDE w:val="false"/>
        <w:spacing w:lineRule="atLeast" w:line="240"/>
        <w:ind w:start="1440" w:end="0"/>
        <w:rPr>
          <w:rFonts w:ascii="Arial" w:hAnsi="Arial" w:cs="Arial"/>
          <w:color w:val="000000"/>
          <w:sz w:val="20"/>
          <w:szCs w:val="20"/>
        </w:rPr>
      </w:pPr>
      <w:r>
        <w:rPr>
          <w:rFonts w:cs="Arial" w:ascii="Arial" w:hAnsi="Arial"/>
          <w:color w:val="000000"/>
          <w:sz w:val="20"/>
          <w:szCs w:val="20"/>
        </w:rPr>
        <w:t xml:space="preserve">We have removed the specific reference to the representative director from the first item (and look forward to receiving a copy of your signature book in due course).  We will however need to see the bank’s corporate documents etc. but will be willing to accept your alternative language for the following provision, the seal certificate etc.  </w:t>
      </w:r>
    </w:p>
    <w:p>
      <w:pPr>
        <w:pStyle w:val="Normal"/>
        <w:keepLines/>
        <w:autoSpaceDE w:val="false"/>
        <w:spacing w:lineRule="atLeast" w:line="240"/>
        <w:ind w:start="1440" w:end="0"/>
        <w:rPr>
          <w:rFonts w:ascii="Arial" w:hAnsi="Arial" w:cs="Arial"/>
          <w:color w:val="000000"/>
          <w:sz w:val="20"/>
          <w:szCs w:val="20"/>
        </w:rPr>
      </w:pPr>
      <w:r>
        <w:rPr>
          <w:rFonts w:cs="Arial" w:ascii="Arial" w:hAnsi="Arial"/>
          <w:color w:val="000000"/>
          <w:sz w:val="20"/>
          <w:szCs w:val="20"/>
        </w:rPr>
      </w:r>
    </w:p>
    <w:p>
      <w:pPr>
        <w:pStyle w:val="Normal"/>
        <w:keepLines/>
        <w:autoSpaceDE w:val="false"/>
        <w:spacing w:lineRule="atLeast" w:line="240"/>
        <w:ind w:start="1440" w:end="0"/>
        <w:rPr>
          <w:rFonts w:ascii="Arial" w:hAnsi="Arial" w:cs="Arial"/>
          <w:color w:val="000000"/>
          <w:sz w:val="20"/>
          <w:szCs w:val="20"/>
        </w:rPr>
      </w:pPr>
      <w:r>
        <w:rPr>
          <w:rFonts w:cs="Arial" w:ascii="Arial" w:hAnsi="Arial"/>
          <w:color w:val="000000"/>
          <w:sz w:val="20"/>
          <w:szCs w:val="20"/>
        </w:rPr>
        <w:t>We will add the new paragraph 3(a) but at this stage are inclined to include specific documents in it.  After we have been able to confirm the drafting we will revert on this.  Finally, we will of course need to see the bank’s financial statements on a regular basis. Perhaps you could make a counter proposal to us along the lines of what would work conveniently for your bank.</w:t>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t>Part 4(a)</w:t>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r>
    </w:p>
    <w:p>
      <w:pPr>
        <w:pStyle w:val="BodyTextIndent"/>
        <w:rPr/>
      </w:pPr>
      <w:r>
        <w:rPr/>
        <w:t>We would like to amend section 12(a) so that notices in relation to terminations etc cannot be given by fax or email.  We think this better provides for clarity and operational efficiency.  Please explain your concern with this proposal.</w:t>
      </w:r>
    </w:p>
    <w:p>
      <w:pPr>
        <w:pStyle w:val="BodyTextIndent"/>
        <w:rPr/>
      </w:pPr>
      <w:r>
        <w:rPr/>
      </w:r>
    </w:p>
    <w:p>
      <w:pPr>
        <w:pStyle w:val="Normal"/>
        <w:keepLines/>
        <w:numPr>
          <w:ilvl w:val="0"/>
          <w:numId w:val="6"/>
        </w:numPr>
        <w:autoSpaceDE w:val="false"/>
        <w:spacing w:lineRule="atLeast" w:line="240"/>
        <w:rPr>
          <w:rFonts w:ascii="Arial" w:hAnsi="Arial" w:cs="Arial"/>
          <w:b/>
          <w:bCs/>
          <w:i/>
          <w:i/>
          <w:iCs/>
          <w:color w:val="000000"/>
          <w:sz w:val="20"/>
          <w:szCs w:val="20"/>
        </w:rPr>
      </w:pPr>
      <w:r>
        <w:rPr>
          <w:rFonts w:cs="Arial" w:ascii="Arial" w:hAnsi="Arial"/>
          <w:b/>
          <w:bCs/>
          <w:i/>
          <w:iCs/>
          <w:color w:val="000000"/>
          <w:sz w:val="20"/>
          <w:szCs w:val="20"/>
        </w:rPr>
        <w:t>Even though deleting the word "not" in this provision, we can net the payments with respect to the same Transaction.   Due to our system incapability, we are not able to net the payments with respect to two or more Transactions in the same currency.</w:t>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r>
    </w:p>
    <w:p>
      <w:pPr>
        <w:pStyle w:val="BodyTextIndent"/>
        <w:rPr/>
      </w:pPr>
      <w:r>
        <w:rPr/>
        <w:t xml:space="preserve">We are still a bit unsure about what you mean here.  We are flexible but we need to know how things would work if for example we ever have 20 or more transactions with you which settle on the same day.  This is quite common for us in the US.  </w:t>
      </w:r>
    </w:p>
    <w:p>
      <w:pPr>
        <w:pStyle w:val="Normal"/>
        <w:keepLines/>
        <w:autoSpaceDE w:val="false"/>
        <w:spacing w:lineRule="atLeast" w:line="240"/>
        <w:ind w:start="1440" w:end="0"/>
        <w:rPr>
          <w:rFonts w:ascii="Arial" w:hAnsi="Arial" w:eastAsia="Arial" w:cs="Arial"/>
          <w:color w:val="000000"/>
          <w:sz w:val="20"/>
          <w:szCs w:val="20"/>
        </w:rPr>
      </w:pPr>
      <w:r>
        <w:rPr>
          <w:rFonts w:eastAsia="Arial" w:cs="Arial" w:ascii="Arial" w:hAnsi="Arial"/>
          <w:color w:val="000000"/>
          <w:sz w:val="20"/>
          <w:szCs w:val="20"/>
        </w:rPr>
        <w:t xml:space="preserve"> </w:t>
      </w:r>
    </w:p>
    <w:p>
      <w:pPr>
        <w:pStyle w:val="Normal"/>
        <w:keepLines/>
        <w:numPr>
          <w:ilvl w:val="0"/>
          <w:numId w:val="2"/>
        </w:numPr>
        <w:autoSpaceDE w:val="false"/>
        <w:spacing w:lineRule="atLeast" w:line="240"/>
        <w:rPr>
          <w:rFonts w:ascii="Arial" w:hAnsi="Arial" w:cs="Arial"/>
          <w:b/>
          <w:bCs/>
          <w:i/>
          <w:i/>
          <w:iCs/>
          <w:color w:val="000000"/>
          <w:sz w:val="20"/>
          <w:szCs w:val="20"/>
        </w:rPr>
      </w:pPr>
      <w:r>
        <w:rPr>
          <w:rFonts w:cs="Arial" w:ascii="Arial" w:hAnsi="Arial"/>
          <w:b/>
          <w:bCs/>
          <w:i/>
          <w:iCs/>
          <w:color w:val="000000"/>
          <w:sz w:val="20"/>
          <w:szCs w:val="20"/>
        </w:rPr>
        <w:t>Agreed.</w:t>
      </w:r>
    </w:p>
    <w:p>
      <w:pPr>
        <w:pStyle w:val="Normal"/>
        <w:keepLines/>
        <w:autoSpaceDE w:val="false"/>
        <w:spacing w:lineRule="atLeast" w:line="240"/>
        <w:rPr>
          <w:rFonts w:ascii="Arial" w:hAnsi="Arial" w:cs="Arial"/>
          <w:b/>
          <w:bCs/>
          <w:i/>
          <w:i/>
          <w:iCs/>
          <w:color w:val="000000"/>
          <w:sz w:val="20"/>
          <w:szCs w:val="20"/>
        </w:rPr>
      </w:pPr>
      <w:r>
        <w:rPr>
          <w:rFonts w:cs="Arial" w:ascii="Arial" w:hAnsi="Arial"/>
          <w:b/>
          <w:bCs/>
          <w:i/>
          <w:iCs/>
          <w:color w:val="000000"/>
          <w:sz w:val="20"/>
          <w:szCs w:val="20"/>
        </w:rPr>
      </w:r>
    </w:p>
    <w:p>
      <w:pPr>
        <w:pStyle w:val="BodyTextIndent"/>
        <w:rPr/>
      </w:pPr>
      <w:r>
        <w:rPr/>
        <w:t>We have amended this provision to include one of our own companies.  Please provide the full postal address of your New York branch.</w:t>
      </w:r>
      <w:r>
        <w:br w:type="page"/>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t>Part 5</w:t>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r>
    </w:p>
    <w:p>
      <w:pPr>
        <w:pStyle w:val="Normal"/>
        <w:keepLines/>
        <w:autoSpaceDE w:val="false"/>
        <w:spacing w:lineRule="atLeast" w:line="240"/>
        <w:ind w:hanging="720" w:start="2160" w:end="0"/>
        <w:rPr>
          <w:rFonts w:ascii="Arial" w:hAnsi="Arial" w:cs="Arial"/>
          <w:b/>
          <w:bCs/>
          <w:i/>
          <w:i/>
          <w:iCs/>
          <w:color w:val="000000"/>
          <w:sz w:val="20"/>
          <w:szCs w:val="20"/>
        </w:rPr>
      </w:pPr>
      <w:r>
        <w:rPr>
          <w:rFonts w:cs="Arial" w:ascii="Arial" w:hAnsi="Arial"/>
          <w:b/>
          <w:bCs/>
          <w:i/>
          <w:iCs/>
          <w:color w:val="000000"/>
          <w:sz w:val="20"/>
          <w:szCs w:val="20"/>
        </w:rPr>
        <w:t>(a)</w:t>
        <w:tab/>
        <w:t>If your suggested language is included, a Non-defaulting Party has to continue to make payment to a Defaulting Party with no payment obligation, which does not seem realistic.  We prefer to terminate Transactions when an  Event of Default occurs.  We do not like to include the provision which releases a technical error.</w:t>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r>
    </w:p>
    <w:p>
      <w:pPr>
        <w:pStyle w:val="Normal"/>
        <w:keepLines/>
        <w:autoSpaceDE w:val="false"/>
        <w:spacing w:lineRule="atLeast" w:line="240"/>
        <w:ind w:start="1440" w:end="0"/>
        <w:rPr>
          <w:rFonts w:ascii="Arial" w:hAnsi="Arial" w:cs="Arial"/>
          <w:color w:val="000000"/>
          <w:sz w:val="20"/>
          <w:szCs w:val="20"/>
        </w:rPr>
      </w:pPr>
      <w:r>
        <w:rPr>
          <w:rFonts w:cs="Arial" w:ascii="Arial" w:hAnsi="Arial"/>
          <w:color w:val="000000"/>
          <w:sz w:val="20"/>
          <w:szCs w:val="20"/>
        </w:rPr>
        <w:t>We would still prefer to retain this language because it seems to us quite unfair and infact very unrealistic that a party which has paid an option premium should lose their rights to payments because of a technical default even though the purchaser has no other payment obligations owing.  We would be grateful if you could consider practically the operation of this amendment we have proposed in more detail and we are sure you will agree.</w:t>
      </w:r>
    </w:p>
    <w:p>
      <w:pPr>
        <w:pStyle w:val="Normal"/>
        <w:keepLines/>
        <w:autoSpaceDE w:val="false"/>
        <w:spacing w:lineRule="atLeast" w:line="240"/>
        <w:ind w:start="1440" w:end="0"/>
        <w:rPr>
          <w:rFonts w:ascii="Arial" w:hAnsi="Arial" w:cs="Arial"/>
          <w:color w:val="000000"/>
          <w:sz w:val="20"/>
          <w:szCs w:val="20"/>
        </w:rPr>
      </w:pPr>
      <w:r>
        <w:rPr>
          <w:rFonts w:cs="Arial" w:ascii="Arial" w:hAnsi="Arial"/>
          <w:color w:val="000000"/>
          <w:sz w:val="20"/>
          <w:szCs w:val="20"/>
        </w:rPr>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t>(e)</w:t>
        <w:tab/>
        <w:t>We propose 5 business days instead.</w:t>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r>
    </w:p>
    <w:p>
      <w:pPr>
        <w:pStyle w:val="BodyTextIndent"/>
        <w:rPr/>
      </w:pPr>
      <w:r>
        <w:rPr/>
        <w:t xml:space="preserve">We cannot agree to your counter proposal and have included three days as we suggested last time instead.  It is important of course to note that the issue is not whether the parties have a deal.  The deal will have been done on the telephone already.  The issue is forcing the parties to confirm whether there are any inconsistencies between what is recorded on the confirmation and the parties understanding of their telephone deal by going back to the tapes if necessary.  Occasionally small new companies are unable to comply with this but we find that most banks are conformable with two or three days.  Please consider this further, we cannot hold up our worldwide systems for five days. </w:t>
      </w:r>
    </w:p>
    <w:p>
      <w:pPr>
        <w:pStyle w:val="BodyTextIndent"/>
        <w:rPr/>
      </w:pPr>
      <w:r>
        <w:rPr/>
      </w:r>
    </w:p>
    <w:p>
      <w:pPr>
        <w:pStyle w:val="Normal"/>
        <w:keepLines/>
        <w:numPr>
          <w:ilvl w:val="0"/>
          <w:numId w:val="4"/>
        </w:numPr>
        <w:autoSpaceDE w:val="false"/>
        <w:spacing w:lineRule="atLeast" w:line="240"/>
        <w:rPr>
          <w:rFonts w:ascii="Arial" w:hAnsi="Arial" w:cs="Arial"/>
          <w:b/>
          <w:bCs/>
          <w:i/>
          <w:i/>
          <w:iCs/>
          <w:color w:val="000000"/>
          <w:sz w:val="20"/>
          <w:szCs w:val="20"/>
        </w:rPr>
      </w:pPr>
      <w:r>
        <w:rPr>
          <w:rFonts w:cs="Arial" w:ascii="Arial" w:hAnsi="Arial"/>
          <w:b/>
          <w:bCs/>
          <w:i/>
          <w:iCs/>
          <w:color w:val="000000"/>
          <w:sz w:val="20"/>
          <w:szCs w:val="20"/>
        </w:rPr>
        <w:t>We do not think the definition of the Affiliate includes a party's branch offices. If our branch have a deal with Enron Japan, we will amend this Master Agreement to include such branch as Multibranch Office.  We heard that in most jurisdictions of the world, it is not effective to set-off the obligations between a party and the other party's Affiliate.</w:t>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r>
    </w:p>
    <w:p>
      <w:pPr>
        <w:pStyle w:val="BodyTextIndent"/>
        <w:rPr/>
      </w:pPr>
      <w:r>
        <w:rPr/>
        <w:t>Please understand that these set-off provisions would only ever apply if a party defaults and that they are not designed to effect general tri-party set-offs.  For example, if Enron Japan defaults and IBJ owes Enron Japan money under an ISDA transaction and at the same time an IBJ Affiliate is owed money by Enron Japan under the same or another ISDA agreement, IBJ would be able to set off these amounts.  This provision is of great benefit to a non-defaulting party and is not otherwise relevant.</w:t>
      </w:r>
    </w:p>
    <w:p>
      <w:pPr>
        <w:pStyle w:val="BodyTextIndent"/>
        <w:rPr/>
      </w:pPr>
      <w:r>
        <w:rPr/>
      </w:r>
    </w:p>
    <w:p>
      <w:pPr>
        <w:pStyle w:val="Normal"/>
        <w:keepLines/>
        <w:numPr>
          <w:ilvl w:val="0"/>
          <w:numId w:val="2"/>
        </w:numPr>
        <w:autoSpaceDE w:val="false"/>
        <w:spacing w:lineRule="atLeast" w:line="240"/>
        <w:rPr>
          <w:rFonts w:ascii="Arial" w:hAnsi="Arial" w:cs="Arial"/>
          <w:b/>
          <w:bCs/>
          <w:i/>
          <w:i/>
          <w:iCs/>
          <w:color w:val="000000"/>
          <w:sz w:val="20"/>
          <w:szCs w:val="20"/>
        </w:rPr>
      </w:pPr>
      <w:r>
        <w:rPr>
          <w:rFonts w:cs="Arial" w:ascii="Arial" w:hAnsi="Arial"/>
          <w:b/>
          <w:bCs/>
          <w:i/>
          <w:iCs/>
          <w:color w:val="000000"/>
          <w:sz w:val="20"/>
          <w:szCs w:val="20"/>
        </w:rPr>
        <w:t>We do not prefer that a party could transfer its rights and obligations without the other party's consent to even its Affiliates.  We might not get approval of the transfer from our Credit Department or such transfer might cause an additional payment of tax or other cost.</w:t>
      </w:r>
    </w:p>
    <w:p>
      <w:pPr>
        <w:pStyle w:val="Normal"/>
        <w:keepLines/>
        <w:autoSpaceDE w:val="false"/>
        <w:spacing w:lineRule="atLeast" w:line="240"/>
        <w:rPr>
          <w:rFonts w:ascii="Arial" w:hAnsi="Arial" w:cs="Arial"/>
          <w:b/>
          <w:bCs/>
          <w:i/>
          <w:i/>
          <w:iCs/>
          <w:color w:val="000000"/>
          <w:sz w:val="20"/>
          <w:szCs w:val="20"/>
        </w:rPr>
      </w:pPr>
      <w:r>
        <w:rPr>
          <w:rFonts w:cs="Arial" w:ascii="Arial" w:hAnsi="Arial"/>
          <w:b/>
          <w:bCs/>
          <w:i/>
          <w:iCs/>
          <w:color w:val="000000"/>
          <w:sz w:val="20"/>
          <w:szCs w:val="20"/>
        </w:rPr>
      </w:r>
    </w:p>
    <w:p>
      <w:pPr>
        <w:pStyle w:val="BodyTextIndent"/>
        <w:rPr/>
      </w:pPr>
      <w:r>
        <w:rPr/>
        <w:t>The fact that the guarantee stays in place should deal with your first concern and we are willing to make another carve out from the section to cover your adverse tax consequence concern.  I trust that this will now be acceptable.</w:t>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t>Part 6</w:t>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t>We still prefer to include the provisions relating to the Commodity Transactions in the respective Confirmations.</w:t>
      </w:r>
    </w:p>
    <w:p>
      <w:pPr>
        <w:pStyle w:val="Normal"/>
        <w:keepLines/>
        <w:autoSpaceDE w:val="false"/>
        <w:spacing w:lineRule="atLeast" w:line="240"/>
        <w:ind w:start="1440" w:end="0"/>
        <w:rPr>
          <w:rFonts w:ascii="Arial" w:hAnsi="Arial" w:cs="Arial"/>
          <w:b/>
          <w:bCs/>
          <w:i/>
          <w:i/>
          <w:iCs/>
          <w:color w:val="000000"/>
          <w:sz w:val="20"/>
          <w:szCs w:val="20"/>
        </w:rPr>
      </w:pPr>
      <w:r>
        <w:rPr>
          <w:rFonts w:cs="Arial" w:ascii="Arial" w:hAnsi="Arial"/>
          <w:b/>
          <w:bCs/>
          <w:i/>
          <w:iCs/>
          <w:color w:val="000000"/>
          <w:sz w:val="20"/>
          <w:szCs w:val="20"/>
        </w:rPr>
      </w:r>
    </w:p>
    <w:p>
      <w:pPr>
        <w:pStyle w:val="BodyTextIndent"/>
        <w:rPr/>
      </w:pPr>
      <w:r>
        <w:rPr/>
        <w:t>We have considered your request again in light of our back-office operations and I am afraid that we do not really have the resources available to include and negotiate these definitions at the confirmation stage.  Please consider them now so that we do not need to have further negotiations at a later stage.  If you wish we can of course provide you with a copy of these definitions.</w:t>
      </w:r>
    </w:p>
    <w:p>
      <w:pPr>
        <w:pStyle w:val="BodyTextIndent"/>
        <w:rPr/>
      </w:pPr>
      <w:r>
        <w:rPr/>
      </w:r>
    </w:p>
    <w:p>
      <w:pPr>
        <w:pStyle w:val="Normal"/>
        <w:keepLines/>
        <w:autoSpaceDE w:val="false"/>
        <w:spacing w:lineRule="atLeast" w:line="240"/>
        <w:ind w:start="1440" w:end="0"/>
        <w:jc w:val="center"/>
        <w:rPr>
          <w:rFonts w:ascii="Arial" w:hAnsi="Arial" w:cs="Arial"/>
          <w:b/>
          <w:bCs/>
          <w:color w:val="000000"/>
          <w:sz w:val="20"/>
          <w:szCs w:val="20"/>
        </w:rPr>
      </w:pPr>
      <w:r>
        <w:rPr>
          <w:rFonts w:cs="Arial" w:ascii="Arial" w:hAnsi="Arial"/>
          <w:b/>
          <w:bCs/>
          <w:color w:val="000000"/>
          <w:sz w:val="20"/>
          <w:szCs w:val="20"/>
        </w:rPr>
        <w:t>*   *   *   *   *</w:t>
      </w:r>
    </w:p>
    <w:p>
      <w:pPr>
        <w:pStyle w:val="Normal"/>
        <w:rPr>
          <w:rFonts w:ascii="Arial" w:hAnsi="Arial" w:cs="Arial"/>
          <w:b/>
          <w:bCs/>
          <w:i/>
          <w:i/>
          <w:iCs/>
          <w:color w:val="000000"/>
          <w:sz w:val="20"/>
          <w:szCs w:val="20"/>
        </w:rPr>
      </w:pPr>
      <w:r>
        <w:rPr>
          <w:rFonts w:cs="Arial" w:ascii="Arial" w:hAnsi="Arial"/>
          <w:b/>
          <w:bCs/>
          <w:i/>
          <w:iCs/>
          <w:color w:val="000000"/>
          <w:sz w:val="20"/>
          <w:szCs w:val="20"/>
        </w:rPr>
      </w:r>
    </w:p>
    <w:sectPr>
      <w:footerReference w:type="default" r:id="rId2"/>
      <w:type w:val="nextPage"/>
      <w:pgSz w:w="12240" w:h="15840"/>
      <w:pgMar w:left="360" w:right="72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7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lowerLetter"/>
      <w:lvlText w:val="(%1)"/>
      <w:lvlJc w:val="start"/>
      <w:pPr>
        <w:tabs>
          <w:tab w:val="num" w:pos="2160"/>
        </w:tabs>
        <w:ind w:start="2160" w:hanging="720"/>
      </w:pPr>
      <w:rPr/>
    </w:lvl>
  </w:abstractNum>
  <w:abstractNum w:abstractNumId="3">
    <w:lvl w:ilvl="0">
      <w:start w:val="7"/>
      <w:numFmt w:val="lowerLetter"/>
      <w:lvlText w:val="(%1)"/>
      <w:lvlJc w:val="start"/>
      <w:pPr>
        <w:tabs>
          <w:tab w:val="num" w:pos="2160"/>
        </w:tabs>
        <w:ind w:start="2160" w:hanging="720"/>
      </w:pPr>
      <w:rPr/>
    </w:lvl>
  </w:abstractNum>
  <w:abstractNum w:abstractNumId="4">
    <w:lvl w:ilvl="0">
      <w:start w:val="7"/>
      <w:numFmt w:val="lowerLetter"/>
      <w:lvlText w:val="(%1)"/>
      <w:lvlJc w:val="start"/>
      <w:pPr>
        <w:tabs>
          <w:tab w:val="num" w:pos="2160"/>
        </w:tabs>
        <w:ind w:start="2160" w:hanging="660"/>
      </w:pPr>
      <w:rPr/>
    </w:lvl>
  </w:abstractNum>
  <w:abstractNum w:abstractNumId="5">
    <w:lvl w:ilvl="0">
      <w:start w:val="8"/>
      <w:numFmt w:val="lowerLetter"/>
      <w:lvlText w:val="(%1)"/>
      <w:lvlJc w:val="start"/>
      <w:pPr>
        <w:tabs>
          <w:tab w:val="num" w:pos="2160"/>
        </w:tabs>
        <w:ind w:start="2160" w:hanging="720"/>
      </w:pPr>
      <w:rPr/>
    </w:lvl>
  </w:abstractNum>
  <w:abstractNum w:abstractNumId="6">
    <w:lvl w:ilvl="0">
      <w:start w:val="6"/>
      <w:numFmt w:val="lowerLetter"/>
      <w:lvlText w:val="(%1)"/>
      <w:lvlJc w:val="start"/>
      <w:pPr>
        <w:tabs>
          <w:tab w:val="num" w:pos="2160"/>
        </w:tabs>
        <w:ind w:start="2160" w:hanging="720"/>
      </w:pPr>
      <w:rPr/>
    </w:lvl>
  </w:abstractNum>
  <w:abstractNum w:abstractNumId="7">
    <w:lvl w:ilvl="0">
      <w:start w:val="11"/>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autoSpaceDE w:val="false"/>
      <w:spacing w:lineRule="atLeast" w:line="240"/>
      <w:ind w:hanging="0" w:start="1440" w:end="0"/>
      <w:outlineLvl w:val="0"/>
    </w:pPr>
    <w:rPr>
      <w:rFonts w:ascii="Arial" w:hAnsi="Arial" w:cs="Arial"/>
      <w:b/>
      <w:bCs/>
      <w:color w:val="000000"/>
      <w:sz w:val="20"/>
      <w:szCs w:val="20"/>
      <w:u w:val="single"/>
    </w:rPr>
  </w:style>
  <w:style w:type="paragraph" w:styleId="Heading2">
    <w:name w:val="heading 2"/>
    <w:basedOn w:val="Normal"/>
    <w:next w:val="Normal"/>
    <w:qFormat/>
    <w:pPr>
      <w:keepNext w:val="true"/>
      <w:keepLines/>
      <w:numPr>
        <w:ilvl w:val="1"/>
        <w:numId w:val="1"/>
      </w:numPr>
      <w:autoSpaceDE w:val="false"/>
      <w:spacing w:lineRule="atLeast" w:line="240"/>
      <w:ind w:hanging="0" w:start="1440" w:end="0"/>
      <w:outlineLvl w:val="1"/>
    </w:pPr>
    <w:rPr>
      <w:rFonts w:ascii="Arial" w:hAnsi="Arial" w:cs="Arial"/>
      <w:b/>
      <w:bCs/>
      <w:i/>
      <w:iCs/>
      <w:color w:val="000000"/>
      <w:sz w:val="20"/>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Lines/>
      <w:autoSpaceDE w:val="false"/>
      <w:spacing w:lineRule="atLeast" w:line="240"/>
      <w:ind w:hanging="0" w:start="1440" w:end="0"/>
      <w:jc w:val="center"/>
    </w:pPr>
    <w:rPr>
      <w:rFonts w:ascii="Arial" w:hAnsi="Arial" w:cs="Arial"/>
      <w:b/>
      <w:bCs/>
      <w:color w:val="000000"/>
      <w:szCs w:val="20"/>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keepLines/>
      <w:autoSpaceDE w:val="false"/>
      <w:spacing w:lineRule="atLeast" w:line="240"/>
      <w:ind w:hanging="0" w:start="1440" w:end="0"/>
    </w:pPr>
    <w:rPr>
      <w:rFonts w:ascii="Arial" w:hAnsi="Arial" w:cs="Arial"/>
      <w:color w:val="000000"/>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2000-11-06T05:37:00Z</dcterms:created>
  <dc:creator>jmcbrid3</dc:creator>
  <dc:description/>
  <dc:language>en-CA</dc:language>
  <cp:lastModifiedBy>jmcbrid3</cp:lastModifiedBy>
  <dcterms:modified xsi:type="dcterms:W3CDTF">2000-11-06T09:11:00Z</dcterms:modified>
  <cp:revision>2</cp:revision>
  <dc:subject/>
  <dc:title>MEMORANDUM</dc:title>
</cp:coreProperties>
</file>