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jc w:val="end"/>
        <w:outlineLvl w:val="0"/>
        <w:rPr>
          <w:b/>
          <w:sz w:val="20"/>
        </w:rPr>
      </w:pPr>
      <w:r>
        <w:rPr>
          <w:b/>
          <w:sz w:val="20"/>
          <w:u w:val="single"/>
        </w:rPr>
        <w:t>PEC DRAFT 9/26/00</w:t>
      </w:r>
    </w:p>
    <w:p>
      <w:pPr>
        <w:pStyle w:val="Heading"/>
        <w:numPr>
          <w:ilvl w:val="0"/>
          <w:numId w:val="0"/>
        </w:numPr>
        <w:outlineLvl w:val="0"/>
        <w:rPr>
          <w:b/>
          <w:sz w:val="20"/>
        </w:rPr>
      </w:pPr>
      <w:r>
        <w:rPr>
          <w:b/>
          <w:sz w:val="20"/>
        </w:rPr>
        <w:t>SCHEDULE</w:t>
      </w:r>
    </w:p>
    <w:p>
      <w:pPr>
        <w:pStyle w:val="Normal"/>
        <w:jc w:val="center"/>
        <w:rPr>
          <w:rFonts w:ascii="Arial" w:hAnsi="Arial" w:cs="Arial"/>
          <w:b/>
        </w:rPr>
      </w:pPr>
      <w:r>
        <w:rPr>
          <w:rFonts w:cs="Arial" w:ascii="Arial" w:hAnsi="Arial"/>
          <w:b/>
        </w:rPr>
        <w:t>to the</w:t>
      </w:r>
    </w:p>
    <w:p>
      <w:pPr>
        <w:pStyle w:val="Normal"/>
        <w:jc w:val="center"/>
        <w:rPr>
          <w:rFonts w:ascii="Arial" w:hAnsi="Arial" w:cs="Arial"/>
          <w:b/>
        </w:rPr>
      </w:pPr>
      <w:r>
        <w:rPr>
          <w:rFonts w:cs="Arial" w:ascii="Arial" w:hAnsi="Arial"/>
          <w:b/>
        </w:rPr>
        <w:t>MASTER AGREEMENT</w:t>
      </w:r>
    </w:p>
    <w:p>
      <w:pPr>
        <w:pStyle w:val="Normal"/>
        <w:jc w:val="center"/>
        <w:rPr>
          <w:rFonts w:ascii="Arial" w:hAnsi="Arial" w:cs="Arial"/>
          <w:b/>
        </w:rPr>
      </w:pPr>
      <w:r>
        <w:rPr>
          <w:rFonts w:cs="Arial" w:ascii="Arial" w:hAnsi="Arial"/>
          <w:b/>
        </w:rPr>
        <w:t>(Multicurrency-Cross Border)</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dated as of                  , 2000</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between</w:t>
      </w:r>
    </w:p>
    <w:p>
      <w:pPr>
        <w:pStyle w:val="Normal"/>
        <w:jc w:val="center"/>
        <w:rPr>
          <w:rFonts w:ascii="Arial" w:hAnsi="Arial" w:cs="Arial"/>
          <w:b/>
        </w:rPr>
      </w:pPr>
      <w:r>
        <w:rPr>
          <w:rFonts w:cs="Arial" w:ascii="Arial" w:hAnsi="Arial"/>
          <w:b/>
        </w:rPr>
      </w:r>
    </w:p>
    <w:p>
      <w:pPr>
        <w:pStyle w:val="Header"/>
        <w:tabs>
          <w:tab w:val="clear" w:pos="4320"/>
          <w:tab w:val="clear" w:pos="8640"/>
          <w:tab w:val="left" w:pos="360" w:leader="none"/>
          <w:tab w:val="left" w:pos="5040" w:leader="none"/>
          <w:tab w:val="left" w:pos="5580" w:leader="none"/>
        </w:tabs>
        <w:jc w:val="both"/>
        <w:rPr>
          <w:rFonts w:ascii="Arial" w:hAnsi="Arial" w:cs="Arial"/>
          <w:b/>
        </w:rPr>
      </w:pPr>
      <w:r>
        <w:rPr>
          <w:rFonts w:cs="Arial" w:ascii="Arial" w:hAnsi="Arial"/>
          <w:b/>
        </w:rPr>
        <w:tab/>
        <w:t xml:space="preserve">                ENOVATE L.L.C., </w:t>
        <w:tab/>
        <w:tab/>
        <w:t>PEOPLES ENERGY CORPORATION,</w:t>
      </w:r>
    </w:p>
    <w:p>
      <w:pPr>
        <w:pStyle w:val="Header"/>
        <w:tabs>
          <w:tab w:val="clear" w:pos="4320"/>
          <w:tab w:val="clear" w:pos="8640"/>
          <w:tab w:val="left" w:pos="360" w:leader="none"/>
          <w:tab w:val="left" w:pos="5040" w:leader="none"/>
          <w:tab w:val="left" w:pos="5580" w:leader="none"/>
        </w:tabs>
        <w:jc w:val="both"/>
        <w:rPr>
          <w:rFonts w:ascii="Arial" w:hAnsi="Arial" w:cs="Arial"/>
          <w:b/>
        </w:rPr>
      </w:pPr>
      <w:r>
        <w:rPr>
          <w:rFonts w:eastAsia="Arial" w:cs="Arial" w:ascii="Arial" w:hAnsi="Arial"/>
          <w:b/>
        </w:rPr>
        <w:t xml:space="preserve"> </w:t>
      </w:r>
      <w:r>
        <w:rPr>
          <w:rFonts w:cs="Arial" w:ascii="Arial" w:hAnsi="Arial"/>
          <w:b/>
        </w:rPr>
        <w:t xml:space="preserve">a limited liability company organized </w:t>
        <w:tab/>
        <w:t>a corporation organized under the law of the</w:t>
      </w:r>
    </w:p>
    <w:p>
      <w:pPr>
        <w:pStyle w:val="Header"/>
        <w:tabs>
          <w:tab w:val="clear" w:pos="4320"/>
          <w:tab w:val="clear" w:pos="8640"/>
          <w:tab w:val="left" w:pos="360" w:leader="none"/>
          <w:tab w:val="left" w:pos="5040" w:leader="none"/>
          <w:tab w:val="left" w:pos="5580" w:leader="none"/>
        </w:tabs>
        <w:jc w:val="both"/>
        <w:rPr>
          <w:rFonts w:ascii="Arial" w:hAnsi="Arial" w:cs="Arial"/>
          <w:b/>
        </w:rPr>
      </w:pPr>
      <w:r>
        <w:rPr>
          <w:rFonts w:cs="Arial" w:ascii="Arial" w:hAnsi="Arial"/>
          <w:b/>
        </w:rPr>
        <w:t>under the law of the State of Delaware</w:t>
        <w:tab/>
        <w:tab/>
        <w:tab/>
        <w:t xml:space="preserve">     State of Illinois (“Party B”)</w:t>
      </w:r>
    </w:p>
    <w:p>
      <w:pPr>
        <w:pStyle w:val="Header"/>
        <w:tabs>
          <w:tab w:val="clear" w:pos="4320"/>
          <w:tab w:val="clear" w:pos="8640"/>
          <w:tab w:val="left" w:pos="360" w:leader="none"/>
          <w:tab w:val="left" w:pos="5040" w:leader="none"/>
          <w:tab w:val="left" w:pos="5580" w:leader="none"/>
        </w:tabs>
        <w:jc w:val="both"/>
        <w:rPr>
          <w:rFonts w:ascii="Arial" w:hAnsi="Arial" w:cs="Arial"/>
          <w:b/>
        </w:rPr>
      </w:pPr>
      <w:r>
        <w:rPr>
          <w:rFonts w:cs="Arial" w:ascii="Arial" w:hAnsi="Arial"/>
          <w:b/>
        </w:rPr>
        <w:tab/>
        <w:t xml:space="preserve">               (“Party A”), and</w:t>
        <w:tab/>
        <w:t xml:space="preserve"> </w:t>
      </w:r>
    </w:p>
    <w:p>
      <w:pPr>
        <w:pStyle w:val="Header"/>
        <w:tabs>
          <w:tab w:val="clear" w:pos="4320"/>
          <w:tab w:val="clear" w:pos="8640"/>
          <w:tab w:val="left" w:pos="900" w:leader="none"/>
          <w:tab w:val="left" w:pos="1440" w:leader="none"/>
          <w:tab w:val="left" w:pos="4680" w:leader="none"/>
        </w:tabs>
        <w:jc w:val="both"/>
        <w:rPr>
          <w:rFonts w:ascii="Arial" w:hAnsi="Arial" w:cs="Arial"/>
          <w:b/>
        </w:rPr>
      </w:pPr>
      <w:r>
        <w:rPr>
          <w:rFonts w:cs="Arial" w:ascii="Arial" w:hAnsi="Arial"/>
          <w:b/>
        </w:rPr>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0"/>
        </w:numPr>
        <w:tabs>
          <w:tab w:val="clear" w:pos="4320"/>
          <w:tab w:val="clear" w:pos="8640"/>
        </w:tabs>
        <w:jc w:val="both"/>
        <w:outlineLvl w:val="0"/>
        <w:rPr>
          <w:rFonts w:ascii="Arial" w:hAnsi="Arial" w:cs="Arial"/>
          <w:b/>
        </w:rPr>
      </w:pPr>
      <w:r>
        <w:rPr>
          <w:rFonts w:cs="Arial" w:ascii="Arial" w:hAnsi="Arial"/>
          <w:b/>
        </w:rPr>
        <w:t>Part 1.  Termination Provisions.</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5"/>
        </w:numPr>
        <w:tabs>
          <w:tab w:val="clear" w:pos="4320"/>
          <w:tab w:val="clear" w:pos="8640"/>
        </w:tabs>
        <w:jc w:val="both"/>
        <w:rPr>
          <w:rFonts w:ascii="Arial" w:hAnsi="Arial" w:cs="Arial"/>
        </w:rPr>
      </w:pPr>
      <w:r>
        <w:rPr>
          <w:rFonts w:cs="Arial" w:ascii="Arial" w:hAnsi="Arial"/>
          <w:b/>
        </w:rPr>
        <w:t>“</w:t>
      </w:r>
      <w:r>
        <w:rPr>
          <w:rFonts w:cs="Arial" w:ascii="Arial" w:hAnsi="Arial"/>
          <w:b/>
        </w:rPr>
        <w:t>Specified Entity”</w:t>
      </w:r>
      <w:r>
        <w:rPr>
          <w:rFonts w:cs="Arial" w:ascii="Arial" w:hAnsi="Arial"/>
        </w:rPr>
        <w:t xml:space="preserve"> means in relation to Party A, none; and in relation to Part B, none.</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ind w:start="720" w:end="0"/>
        <w:jc w:val="both"/>
        <w:rPr/>
      </w:pPr>
      <w:r>
        <w:rPr>
          <w:rFonts w:cs="Arial" w:ascii="Arial" w:hAnsi="Arial"/>
        </w:rPr>
        <w:t>(b)</w:t>
      </w:r>
      <w:r>
        <w:rPr>
          <w:rFonts w:cs="Arial" w:ascii="Arial" w:hAnsi="Arial"/>
          <w:b/>
        </w:rPr>
        <w:tab/>
      </w:r>
      <w:r>
        <w:rPr>
          <w:rFonts w:cs="Arial" w:ascii="Arial" w:hAnsi="Arial"/>
        </w:rPr>
        <w:t xml:space="preserve">The </w:t>
      </w:r>
      <w:r>
        <w:rPr>
          <w:rFonts w:cs="Arial" w:ascii="Arial" w:hAnsi="Arial"/>
          <w:b/>
        </w:rPr>
        <w:t>“Cross Default”</w:t>
      </w:r>
      <w:r>
        <w:rPr>
          <w:rFonts w:cs="Arial" w:ascii="Arial" w:hAnsi="Arial"/>
        </w:rPr>
        <w:t xml:space="preserve"> provisions of Section 5(a)(vi) will apply to Party A, and will apply to</w:t>
      </w:r>
    </w:p>
    <w:p>
      <w:pPr>
        <w:pStyle w:val="Header"/>
        <w:tabs>
          <w:tab w:val="clear" w:pos="4320"/>
          <w:tab w:val="clear" w:pos="8640"/>
        </w:tabs>
        <w:jc w:val="both"/>
        <w:rPr>
          <w:rFonts w:ascii="Arial" w:hAnsi="Arial" w:cs="Arial"/>
        </w:rPr>
      </w:pPr>
      <w:r>
        <w:rPr>
          <w:rFonts w:cs="Arial" w:ascii="Arial" w:hAnsi="Arial"/>
        </w:rPr>
        <w:t>Party B.</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start="720" w:end="0"/>
        <w:jc w:val="both"/>
        <w:rPr/>
      </w:pPr>
      <w:r>
        <w:rPr>
          <w:rFonts w:cs="Arial" w:ascii="Arial" w:hAnsi="Arial"/>
        </w:rPr>
        <w:tab/>
      </w:r>
      <w:r>
        <w:rPr>
          <w:rFonts w:cs="Arial" w:ascii="Arial" w:hAnsi="Arial"/>
          <w:b/>
        </w:rPr>
        <w:br/>
        <w:t>“Threshold Amount”</w:t>
      </w:r>
      <w:r>
        <w:rPr>
          <w:rFonts w:cs="Arial" w:ascii="Arial" w:hAnsi="Arial"/>
        </w:rPr>
        <w:t xml:space="preserve"> means:  with respect to Party A, U.S. $15,000,000 (or its equivalent in </w:t>
      </w:r>
    </w:p>
    <w:p>
      <w:pPr>
        <w:pStyle w:val="Header"/>
        <w:tabs>
          <w:tab w:val="clear" w:pos="4320"/>
          <w:tab w:val="clear" w:pos="8640"/>
        </w:tabs>
        <w:jc w:val="both"/>
        <w:rPr>
          <w:rFonts w:ascii="Arial" w:hAnsi="Arial" w:cs="Arial"/>
        </w:rPr>
      </w:pPr>
      <w:r>
        <w:rPr>
          <w:rFonts w:cs="Arial" w:ascii="Arial" w:hAnsi="Arial"/>
        </w:rPr>
        <w:t>another currency); with respect to Party A’s Credit Support Provider, U.S. $50,000,000 (or its equivalent in another currency); and with respect to Party B, U.S. $25,000,000 (or its equivalent in another currency).</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firstLine="720" w:end="0"/>
        <w:jc w:val="both"/>
        <w:rPr>
          <w:rFonts w:ascii="Arial" w:hAnsi="Arial" w:cs="Arial"/>
        </w:rPr>
      </w:pPr>
      <w:r>
        <w:rPr>
          <w:rFonts w:cs="Arial" w:ascii="Arial" w:hAnsi="Arial"/>
        </w:rPr>
        <w:t>(c)</w:t>
        <w:tab/>
        <w:t xml:space="preserve">The (“Credit Event Upon Merger”) provisions of Section 5(b)(iv) as amended below will </w:t>
      </w:r>
    </w:p>
    <w:p>
      <w:pPr>
        <w:pStyle w:val="Header"/>
        <w:tabs>
          <w:tab w:val="clear" w:pos="4320"/>
          <w:tab w:val="clear" w:pos="8640"/>
        </w:tabs>
        <w:jc w:val="both"/>
        <w:rPr>
          <w:rFonts w:ascii="Arial" w:hAnsi="Arial" w:cs="Arial"/>
        </w:rPr>
      </w:pPr>
      <w:r>
        <w:rPr>
          <w:rFonts w:cs="Arial" w:ascii="Arial" w:hAnsi="Arial"/>
        </w:rPr>
        <w:t>apply to party A’s Credit Support Provider and to Party B; provided, however, that the phrase “materially weaker” means:  (i) a reduction in the Credit Rating of the resulting, surviving or transferee entity by either Standard &amp; Poor’s Corporation or its successors (“S&amp;P”) to below “BBB-“, or by Moody’s Investors Services, Inc. or its successors (“Moody’s) to below “Baa3”, or (ii) failure of the resulting, surviving on transferee entity to provide adequate assurances of its ability to perform all of its outstanding obligations to the party which is not the Affected Party on or before the second Local Business Day after a request for such adequate assurance is made by the party which is not the Affected Party when that party has reasonable grounds for insecurity.  For purposes of this definition, “Credit Rating” means, with respect to any date of determination, the respective rating then assigned to its unsecured and senior long-term indebtedness (not supported by third party credit enhancement) or, in the event that it has no such rating, its then current corporate credit rating by S&amp;P or Moody’s.</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3"/>
        </w:numPr>
        <w:tabs>
          <w:tab w:val="clear" w:pos="4320"/>
          <w:tab w:val="clear" w:pos="8640"/>
        </w:tabs>
        <w:jc w:val="both"/>
        <w:rPr>
          <w:rFonts w:ascii="Arial" w:hAnsi="Arial" w:cs="Arial"/>
        </w:rPr>
      </w:pPr>
      <w:r>
        <w:rPr>
          <w:rFonts w:cs="Arial" w:ascii="Arial" w:hAnsi="Arial"/>
        </w:rPr>
        <w:t xml:space="preserve">The </w:t>
      </w:r>
      <w:r>
        <w:rPr>
          <w:rFonts w:cs="Arial" w:ascii="Arial" w:hAnsi="Arial"/>
          <w:b/>
        </w:rPr>
        <w:t>“Automatic Early Termination”</w:t>
      </w:r>
      <w:r>
        <w:rPr>
          <w:rFonts w:cs="Arial" w:ascii="Arial" w:hAnsi="Arial"/>
        </w:rPr>
        <w:t xml:space="preserve"> provision of Section 6(a) will not apply to Party A or </w:t>
      </w:r>
    </w:p>
    <w:p>
      <w:pPr>
        <w:pStyle w:val="Header"/>
        <w:tabs>
          <w:tab w:val="clear" w:pos="4320"/>
          <w:tab w:val="clear" w:pos="8640"/>
        </w:tabs>
        <w:jc w:val="both"/>
        <w:rPr>
          <w:rFonts w:ascii="Arial" w:hAnsi="Arial" w:cs="Arial"/>
        </w:rPr>
      </w:pPr>
      <w:r>
        <w:rPr>
          <w:rFonts w:cs="Arial" w:ascii="Arial" w:hAnsi="Arial"/>
        </w:rPr>
        <w:t>to Party B.</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start="720" w:end="0"/>
        <w:jc w:val="both"/>
        <w:rPr/>
      </w:pPr>
      <w:r>
        <w:rPr>
          <w:rFonts w:cs="Arial" w:ascii="Arial" w:hAnsi="Arial"/>
        </w:rPr>
        <w:t>(e)</w:t>
        <w:tab/>
      </w:r>
      <w:r>
        <w:rPr>
          <w:rFonts w:cs="Arial" w:ascii="Arial" w:hAnsi="Arial"/>
          <w:b/>
        </w:rPr>
        <w:t>Payments on Early Termination.</w:t>
      </w:r>
      <w:r>
        <w:rPr>
          <w:rFonts w:cs="Arial" w:ascii="Arial" w:hAnsi="Arial"/>
        </w:rPr>
        <w:t xml:space="preserve">  For the purpose of Section 6(e):  (i) Loss will apply, </w:t>
      </w:r>
    </w:p>
    <w:p>
      <w:pPr>
        <w:pStyle w:val="Header"/>
        <w:tabs>
          <w:tab w:val="clear" w:pos="4320"/>
          <w:tab w:val="clear" w:pos="8640"/>
        </w:tabs>
        <w:jc w:val="both"/>
        <w:rPr>
          <w:rFonts w:ascii="Arial" w:hAnsi="Arial" w:cs="Arial"/>
        </w:rPr>
      </w:pPr>
      <w:r>
        <w:rPr>
          <w:rFonts w:cs="Arial" w:ascii="Arial" w:hAnsi="Arial"/>
        </w:rPr>
        <w:t>except that the Market Quotation will apply with respect to any Transaction specifying natural gas or crude as the Commodity and having a Termination Date three years or less from the Early Termination Date, and (ii) the Second Method will apply.</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firstLine="720" w:end="0"/>
        <w:jc w:val="both"/>
        <w:rPr/>
      </w:pPr>
      <w:r>
        <w:rPr>
          <w:rFonts w:cs="Arial" w:ascii="Arial" w:hAnsi="Arial"/>
        </w:rPr>
        <w:t>(f)</w:t>
        <w:tab/>
      </w:r>
      <w:r>
        <w:rPr>
          <w:rFonts w:cs="Arial" w:ascii="Arial" w:hAnsi="Arial"/>
          <w:b/>
        </w:rPr>
        <w:t>“Termination Currency”</w:t>
      </w:r>
      <w:r>
        <w:rPr>
          <w:rFonts w:cs="Arial" w:ascii="Arial" w:hAnsi="Arial"/>
        </w:rPr>
        <w:t xml:space="preserve"> means United States Dollars.</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11"/>
        </w:numPr>
        <w:tabs>
          <w:tab w:val="clear" w:pos="4320"/>
          <w:tab w:val="clear" w:pos="8640"/>
        </w:tabs>
        <w:jc w:val="both"/>
        <w:rPr>
          <w:rFonts w:ascii="Arial" w:hAnsi="Arial" w:cs="Arial"/>
        </w:rPr>
      </w:pPr>
      <w:r>
        <w:rPr>
          <w:rFonts w:cs="Arial" w:ascii="Arial" w:hAnsi="Arial"/>
        </w:rPr>
        <w:t xml:space="preserve">Section 5(b)(iv) is hereby amended by adding the following phrase between the closing </w:t>
      </w:r>
    </w:p>
    <w:p>
      <w:pPr>
        <w:pStyle w:val="Header"/>
        <w:tabs>
          <w:tab w:val="clear" w:pos="4320"/>
          <w:tab w:val="clear" w:pos="8640"/>
        </w:tabs>
        <w:jc w:val="both"/>
        <w:rPr/>
      </w:pPr>
      <w:r>
        <w:rPr>
          <w:rFonts w:cs="Arial" w:ascii="Arial" w:hAnsi="Arial"/>
        </w:rPr>
        <w:t>parenthesis and the semicolon at the end thereof:  “</w:t>
      </w:r>
      <w:r>
        <w:rPr>
          <w:rFonts w:cs="Arial" w:ascii="Arial" w:hAnsi="Arial"/>
          <w:u w:val="single"/>
        </w:rPr>
        <w:t>provided</w:t>
      </w:r>
      <w:r>
        <w:rPr>
          <w:rFonts w:cs="Arial" w:ascii="Arial" w:hAnsi="Arial"/>
        </w:rPr>
        <w:t xml:space="preserve">, </w:t>
      </w:r>
      <w:r>
        <w:rPr>
          <w:rFonts w:cs="Arial" w:ascii="Arial" w:hAnsi="Arial"/>
          <w:u w:val="single"/>
        </w:rPr>
        <w:t>however</w:t>
      </w:r>
      <w:r>
        <w:rPr>
          <w:rFonts w:cs="Arial" w:ascii="Arial" w:hAnsi="Arial"/>
        </w:rPr>
        <w:t xml:space="preserve">, that the forgoing action or event shall not constitute a Termination Event in case of such action or event involving one of the parties to this Agreement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any Eligible Credit Support required under the ISDA Credit Support Annex attached hereto as </w:t>
      </w:r>
      <w:r>
        <w:rPr>
          <w:rFonts w:cs="Arial" w:ascii="Arial" w:hAnsi="Arial"/>
          <w:u w:val="single"/>
        </w:rPr>
        <w:t>Annex A</w:t>
      </w:r>
      <w:r>
        <w:rPr>
          <w:rFonts w:cs="Arial" w:ascii="Arial" w:hAnsi="Arial"/>
        </w:rPr>
        <w:t xml:space="preserve">, it shall be otherwise administered under </w:t>
      </w:r>
      <w:r>
        <w:rPr>
          <w:rFonts w:cs="Arial" w:ascii="Arial" w:hAnsi="Arial"/>
          <w:u w:val="single"/>
        </w:rPr>
        <w:t>Annex A</w:t>
      </w:r>
      <w:r>
        <w:rPr>
          <w:rFonts w:cs="Arial" w:ascii="Arial" w:hAnsi="Arial"/>
        </w:rPr>
        <w:t>.</w:t>
      </w:r>
    </w:p>
    <w:p>
      <w:pPr>
        <w:pStyle w:val="Header"/>
        <w:tabs>
          <w:tab w:val="clear" w:pos="4320"/>
          <w:tab w:val="clear" w:pos="8640"/>
        </w:tabs>
        <w:ind w:start="720" w:end="0"/>
        <w:jc w:val="both"/>
        <w:rPr>
          <w:rFonts w:ascii="Arial" w:hAnsi="Arial" w:cs="Arial"/>
        </w:rPr>
      </w:pPr>
      <w:r>
        <w:rPr>
          <w:rFonts w:cs="Arial" w:ascii="Arial" w:hAnsi="Arial"/>
        </w:rPr>
      </w:r>
    </w:p>
    <w:p>
      <w:pPr>
        <w:pStyle w:val="Header"/>
        <w:numPr>
          <w:ilvl w:val="0"/>
          <w:numId w:val="0"/>
        </w:numPr>
        <w:tabs>
          <w:tab w:val="clear" w:pos="4320"/>
          <w:tab w:val="clear" w:pos="8640"/>
        </w:tabs>
        <w:jc w:val="both"/>
        <w:outlineLvl w:val="0"/>
        <w:rPr>
          <w:rFonts w:ascii="Arial" w:hAnsi="Arial" w:cs="Arial"/>
          <w:b/>
        </w:rPr>
      </w:pPr>
      <w:r>
        <w:rPr>
          <w:rFonts w:cs="Arial" w:ascii="Arial" w:hAnsi="Arial"/>
          <w:b/>
        </w:rPr>
        <w:t>Part 2.  Tax Representations.</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ind w:firstLine="720" w:end="0"/>
        <w:jc w:val="both"/>
        <w:rPr/>
      </w:pPr>
      <w:r>
        <w:rPr>
          <w:rFonts w:cs="Arial" w:ascii="Arial" w:hAnsi="Arial"/>
        </w:rPr>
        <w:t>(a)</w:t>
      </w:r>
      <w:r>
        <w:rPr>
          <w:rFonts w:cs="Arial" w:ascii="Arial" w:hAnsi="Arial"/>
          <w:b/>
        </w:rPr>
        <w:tab/>
        <w:t>Payer Representations.</w:t>
      </w:r>
      <w:r>
        <w:rPr>
          <w:rFonts w:cs="Arial" w:ascii="Arial" w:hAnsi="Arial"/>
        </w:rPr>
        <w:t xml:space="preserve">  For the purpose of Section 3(e), Party A and Party B make the following representation:</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ind w:start="720" w:end="0"/>
        <w:jc w:val="both"/>
        <w:rPr>
          <w:rFonts w:ascii="Arial" w:hAnsi="Arial" w:cs="Arial"/>
        </w:rPr>
      </w:pPr>
      <w:r>
        <w:rPr>
          <w:rFonts w:cs="Arial" w:ascii="Arial" w:hAnsi="Arial"/>
        </w:rPr>
        <w:t>It is not required by any applicable law, as modified by the practice of any relevant governmental</w:t>
      </w:r>
    </w:p>
    <w:p>
      <w:pPr>
        <w:pStyle w:val="Header"/>
        <w:tabs>
          <w:tab w:val="clear" w:pos="4320"/>
          <w:tab w:val="clear" w:pos="8640"/>
        </w:tabs>
        <w:jc w:val="both"/>
        <w:rPr/>
      </w:pPr>
      <w:r>
        <w:rPr>
          <w:rFonts w:cs="Arial" w:ascii="Arial" w:hAnsi="Arial"/>
        </w:rPr>
        <w:t xml:space="preserve">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4(a)(iii) and the accuracy and effectiveness of any document provided by the other party pursuant to Section 4(a)(i) or 4(a)(iii), and (iii) the satisfaction of the agreement of the other party contained in Section 4(d), </w:t>
      </w:r>
      <w:r>
        <w:rPr>
          <w:rFonts w:cs="Arial" w:ascii="Arial" w:hAnsi="Arial"/>
          <w:i/>
        </w:rPr>
        <w:t>provided</w:t>
      </w:r>
      <w:r>
        <w:rPr>
          <w:rFonts w:cs="Arial" w:ascii="Arial" w:hAnsi="Arial"/>
        </w:rPr>
        <w:t xml:space="preserve"> that it shall not be a breach of this representation where reliance is placed on Clause (ii) and the other party does not deliver a form or document under Section 4(a)(i) or 4(a)(iii) by reason of material prejudice to its legal or commercial position.</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5"/>
        </w:numPr>
        <w:tabs>
          <w:tab w:val="clear" w:pos="4320"/>
          <w:tab w:val="clear" w:pos="8640"/>
        </w:tabs>
        <w:jc w:val="both"/>
        <w:rPr>
          <w:rFonts w:ascii="Arial" w:hAnsi="Arial" w:cs="Arial"/>
        </w:rPr>
      </w:pPr>
      <w:r>
        <w:rPr>
          <w:rFonts w:cs="Arial" w:ascii="Arial" w:hAnsi="Arial"/>
          <w:b/>
        </w:rPr>
        <w:t>Payee Representations.</w:t>
      </w:r>
      <w:r>
        <w:rPr>
          <w:rFonts w:cs="Arial" w:ascii="Arial" w:hAnsi="Arial"/>
        </w:rPr>
        <w:t xml:space="preserve">  For the purpose of Section 3(f), Party A and Party B make the</w:t>
      </w:r>
    </w:p>
    <w:p>
      <w:pPr>
        <w:pStyle w:val="Header"/>
        <w:tabs>
          <w:tab w:val="clear" w:pos="4320"/>
          <w:tab w:val="clear" w:pos="8640"/>
        </w:tabs>
        <w:jc w:val="both"/>
        <w:rPr>
          <w:rFonts w:ascii="Arial" w:hAnsi="Arial" w:cs="Arial"/>
        </w:rPr>
      </w:pPr>
      <w:r>
        <w:rPr>
          <w:rFonts w:cs="Arial" w:ascii="Arial" w:hAnsi="Arial"/>
        </w:rPr>
        <w:t>following representations:</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6"/>
        </w:numPr>
        <w:tabs>
          <w:tab w:val="clear" w:pos="4320"/>
          <w:tab w:val="clear" w:pos="8640"/>
          <w:tab w:val="left" w:pos="2160" w:leader="none"/>
        </w:tabs>
        <w:jc w:val="both"/>
        <w:rPr>
          <w:rFonts w:ascii="Arial" w:hAnsi="Arial" w:cs="Arial"/>
        </w:rPr>
      </w:pPr>
      <w:r>
        <w:rPr>
          <w:rFonts w:cs="Arial" w:ascii="Arial" w:hAnsi="Arial"/>
        </w:rPr>
        <w:t>The following representation applies to Party A:</w:t>
      </w:r>
    </w:p>
    <w:p>
      <w:pPr>
        <w:pStyle w:val="Header"/>
        <w:tabs>
          <w:tab w:val="clear" w:pos="4320"/>
          <w:tab w:val="clear" w:pos="8640"/>
        </w:tabs>
        <w:ind w:start="720" w:end="0"/>
        <w:jc w:val="both"/>
        <w:rPr>
          <w:rFonts w:ascii="Arial" w:hAnsi="Arial" w:cs="Arial"/>
        </w:rPr>
      </w:pPr>
      <w:r>
        <w:rPr>
          <w:rFonts w:cs="Arial" w:ascii="Arial" w:hAnsi="Arial"/>
        </w:rPr>
      </w:r>
    </w:p>
    <w:p>
      <w:pPr>
        <w:pStyle w:val="Header"/>
        <w:numPr>
          <w:ilvl w:val="0"/>
          <w:numId w:val="0"/>
        </w:numPr>
        <w:tabs>
          <w:tab w:val="clear" w:pos="4320"/>
          <w:tab w:val="clear" w:pos="8640"/>
          <w:tab w:val="left" w:pos="2160" w:leader="none"/>
        </w:tabs>
        <w:ind w:hanging="360" w:start="2160" w:end="0"/>
        <w:jc w:val="both"/>
        <w:outlineLvl w:val="0"/>
        <w:rPr>
          <w:rFonts w:ascii="Arial" w:hAnsi="Arial" w:cs="Arial"/>
        </w:rPr>
      </w:pPr>
      <w:r>
        <w:rPr>
          <w:rFonts w:cs="Arial" w:ascii="Arial" w:hAnsi="Arial"/>
        </w:rPr>
        <w:tab/>
        <w:t>Party A is a limited liability company organized under the laws of the State of Delaware.</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7"/>
        </w:numPr>
        <w:tabs>
          <w:tab w:val="clear" w:pos="4320"/>
          <w:tab w:val="clear" w:pos="8640"/>
        </w:tabs>
        <w:jc w:val="both"/>
        <w:rPr>
          <w:rFonts w:ascii="Arial" w:hAnsi="Arial" w:cs="Arial"/>
        </w:rPr>
      </w:pPr>
      <w:r>
        <w:rPr>
          <w:rFonts w:cs="Arial" w:ascii="Arial" w:hAnsi="Arial"/>
        </w:rPr>
        <w:t>The following representation applies to Party B:</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0"/>
        </w:numPr>
        <w:tabs>
          <w:tab w:val="clear" w:pos="4320"/>
          <w:tab w:val="clear" w:pos="8640"/>
        </w:tabs>
        <w:ind w:start="2160" w:end="0"/>
        <w:jc w:val="both"/>
        <w:outlineLvl w:val="0"/>
        <w:rPr>
          <w:rFonts w:ascii="Arial" w:hAnsi="Arial" w:cs="Arial"/>
        </w:rPr>
      </w:pPr>
      <w:r>
        <w:rPr>
          <w:rFonts w:cs="Arial" w:ascii="Arial" w:hAnsi="Arial"/>
        </w:rPr>
        <w:t>Party B is a corporation organized under the laws of the State of Illinois.</w:t>
      </w:r>
    </w:p>
    <w:p>
      <w:pPr>
        <w:pStyle w:val="Header"/>
        <w:tabs>
          <w:tab w:val="clear" w:pos="4320"/>
          <w:tab w:val="clear" w:pos="8640"/>
        </w:tabs>
        <w:ind w:start="2160" w:end="0"/>
        <w:jc w:val="both"/>
        <w:rPr>
          <w:rFonts w:ascii="Arial" w:hAnsi="Arial" w:cs="Arial"/>
        </w:rPr>
      </w:pPr>
      <w:r>
        <w:rPr>
          <w:rFonts w:cs="Arial" w:ascii="Arial" w:hAnsi="Arial"/>
        </w:rPr>
      </w:r>
    </w:p>
    <w:p>
      <w:pPr>
        <w:pStyle w:val="Header"/>
        <w:numPr>
          <w:ilvl w:val="0"/>
          <w:numId w:val="0"/>
        </w:numPr>
        <w:tabs>
          <w:tab w:val="clear" w:pos="4320"/>
          <w:tab w:val="clear" w:pos="8640"/>
        </w:tabs>
        <w:jc w:val="both"/>
        <w:outlineLvl w:val="0"/>
        <w:rPr>
          <w:rFonts w:ascii="Arial" w:hAnsi="Arial" w:cs="Arial"/>
          <w:b/>
        </w:rPr>
      </w:pPr>
      <w:r>
        <w:rPr>
          <w:rFonts w:cs="Arial" w:ascii="Arial" w:hAnsi="Arial"/>
          <w:b/>
        </w:rPr>
        <w:t>Part 3.  Agreement to Deliver Documents.</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ind w:firstLine="720" w:end="0"/>
        <w:jc w:val="both"/>
        <w:rPr>
          <w:rFonts w:ascii="Arial" w:hAnsi="Arial" w:cs="Arial"/>
        </w:rPr>
      </w:pPr>
      <w:r>
        <w:rPr>
          <w:rFonts w:cs="Arial" w:ascii="Arial" w:hAnsi="Arial"/>
        </w:rPr>
        <w:t>For the purpose of Section 4(a), each party agrees to deliver the following documents, as applicable:</w:t>
      </w:r>
    </w:p>
    <w:p>
      <w:pPr>
        <w:pStyle w:val="Header"/>
        <w:tabs>
          <w:tab w:val="clear" w:pos="4320"/>
          <w:tab w:val="clear" w:pos="8640"/>
        </w:tabs>
        <w:ind w:firstLine="720" w:end="0"/>
        <w:jc w:val="both"/>
        <w:rPr>
          <w:rFonts w:ascii="Arial" w:hAnsi="Arial" w:cs="Arial"/>
        </w:rPr>
      </w:pPr>
      <w:r>
        <w:rPr>
          <w:rFonts w:cs="Arial" w:ascii="Arial" w:hAnsi="Arial"/>
        </w:rPr>
      </w:r>
    </w:p>
    <w:p>
      <w:pPr>
        <w:pStyle w:val="Header"/>
        <w:numPr>
          <w:ilvl w:val="0"/>
          <w:numId w:val="10"/>
        </w:numPr>
        <w:tabs>
          <w:tab w:val="clear" w:pos="4320"/>
          <w:tab w:val="clear" w:pos="8640"/>
        </w:tabs>
        <w:jc w:val="both"/>
        <w:rPr>
          <w:rFonts w:ascii="Arial" w:hAnsi="Arial" w:cs="Arial"/>
        </w:rPr>
      </w:pPr>
      <w:r>
        <w:rPr>
          <w:rFonts w:cs="Arial" w:ascii="Arial" w:hAnsi="Arial"/>
        </w:rPr>
        <w:t>Tax forms, documents, or certificates to be delivered are:  None.</w:t>
      </w:r>
    </w:p>
    <w:p>
      <w:pPr>
        <w:pStyle w:val="Header"/>
        <w:tabs>
          <w:tab w:val="clear" w:pos="4320"/>
          <w:tab w:val="clear" w:pos="8640"/>
        </w:tabs>
        <w:ind w:start="720" w:end="0"/>
        <w:jc w:val="both"/>
        <w:rPr>
          <w:rFonts w:ascii="Arial" w:hAnsi="Arial" w:cs="Arial"/>
        </w:rPr>
      </w:pPr>
      <w:r>
        <w:rPr>
          <w:rFonts w:cs="Arial" w:ascii="Arial" w:hAnsi="Arial"/>
        </w:rPr>
      </w:r>
    </w:p>
    <w:p>
      <w:pPr>
        <w:pStyle w:val="Header"/>
        <w:numPr>
          <w:ilvl w:val="0"/>
          <w:numId w:val="10"/>
        </w:numPr>
        <w:tabs>
          <w:tab w:val="clear" w:pos="4320"/>
          <w:tab w:val="clear" w:pos="8640"/>
        </w:tabs>
        <w:jc w:val="both"/>
        <w:rPr>
          <w:rFonts w:ascii="Arial" w:hAnsi="Arial" w:cs="Arial"/>
        </w:rPr>
      </w:pPr>
      <w:r>
        <w:rPr>
          <w:rFonts w:cs="Arial" w:ascii="Arial" w:hAnsi="Arial"/>
        </w:rPr>
        <w:t>Other documents to be delivered are:</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(Please see next page)</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jc w:val="both"/>
        <w:rPr>
          <w:rFonts w:ascii="Arial" w:hAnsi="Arial" w:cs="Arial"/>
          <w:b/>
        </w:rPr>
      </w:pPr>
      <w:r>
        <w:rPr>
          <w:rFonts w:cs="Arial" w:ascii="Arial" w:hAnsi="Arial"/>
          <w:b/>
        </w:rPr>
      </w:r>
    </w:p>
    <w:tbl>
      <w:tblPr>
        <w:tblW w:w="9576" w:type="dxa"/>
        <w:jc w:val="center"/>
        <w:tblInd w:w="0" w:type="dxa"/>
        <w:tblLayout w:type="fixed"/>
        <w:tblCellMar>
          <w:top w:w="0" w:type="dxa"/>
          <w:start w:w="108" w:type="dxa"/>
          <w:bottom w:w="0" w:type="dxa"/>
          <w:end w:w="108" w:type="dxa"/>
        </w:tblCellMar>
      </w:tblPr>
      <w:tblGrid>
        <w:gridCol w:w="1837"/>
        <w:gridCol w:w="3835"/>
        <w:gridCol w:w="2220"/>
        <w:gridCol w:w="1684"/>
      </w:tblGrid>
      <w:tr>
        <w:trPr/>
        <w:tc>
          <w:tcPr>
            <w:tcW w:w="1837" w:type="dxa"/>
            <w:tcBorders/>
          </w:tcPr>
          <w:p>
            <w:pPr>
              <w:pStyle w:val="Header"/>
              <w:tabs>
                <w:tab w:val="clear" w:pos="4320"/>
                <w:tab w:val="clear" w:pos="8640"/>
              </w:tabs>
              <w:jc w:val="center"/>
              <w:rPr>
                <w:rFonts w:ascii="Arial" w:hAnsi="Arial" w:cs="Arial"/>
                <w:b/>
              </w:rPr>
            </w:pPr>
            <w:r>
              <w:rPr>
                <w:rFonts w:cs="Arial" w:ascii="Arial" w:hAnsi="Arial"/>
                <w:b/>
              </w:rPr>
              <w:t>Party required to Deliver</w:t>
            </w:r>
          </w:p>
          <w:p>
            <w:pPr>
              <w:pStyle w:val="Header"/>
              <w:tabs>
                <w:tab w:val="clear" w:pos="4320"/>
                <w:tab w:val="clear" w:pos="8640"/>
              </w:tabs>
              <w:jc w:val="center"/>
              <w:rPr>
                <w:rFonts w:ascii="Arial" w:hAnsi="Arial" w:cs="Arial"/>
                <w:b/>
                <w:u w:val="single"/>
              </w:rPr>
            </w:pPr>
            <w:r>
              <w:rPr>
                <w:rFonts w:cs="Arial" w:ascii="Arial" w:hAnsi="Arial"/>
                <w:b/>
                <w:u w:val="single"/>
              </w:rPr>
              <w:t>document</w:t>
            </w:r>
          </w:p>
        </w:tc>
        <w:tc>
          <w:tcPr>
            <w:tcW w:w="3835" w:type="dxa"/>
            <w:tcBorders/>
          </w:tcPr>
          <w:p>
            <w:pPr>
              <w:pStyle w:val="Header"/>
              <w:tabs>
                <w:tab w:val="clear" w:pos="4320"/>
                <w:tab w:val="clear" w:pos="8640"/>
              </w:tabs>
              <w:snapToGrid w:val="false"/>
              <w:jc w:val="both"/>
              <w:rPr>
                <w:rFonts w:ascii="Arial" w:hAnsi="Arial" w:cs="Arial"/>
                <w:b/>
                <w:u w:val="single"/>
              </w:rPr>
            </w:pPr>
            <w:r>
              <w:rPr>
                <w:rFonts w:cs="Arial" w:ascii="Arial" w:hAnsi="Arial"/>
                <w:b/>
                <w:u w:val="single"/>
              </w:rPr>
            </w:r>
          </w:p>
          <w:p>
            <w:pPr>
              <w:pStyle w:val="Header"/>
              <w:tabs>
                <w:tab w:val="clear" w:pos="4320"/>
                <w:tab w:val="clear" w:pos="8640"/>
              </w:tabs>
              <w:jc w:val="both"/>
              <w:rPr>
                <w:rFonts w:ascii="Arial" w:hAnsi="Arial" w:cs="Arial"/>
                <w:b/>
                <w:u w:val="single"/>
              </w:rPr>
            </w:pPr>
            <w:r>
              <w:rPr>
                <w:rFonts w:cs="Arial" w:ascii="Arial" w:hAnsi="Arial"/>
                <w:b/>
                <w:u w:val="single"/>
              </w:rPr>
            </w:r>
          </w:p>
          <w:p>
            <w:pPr>
              <w:pStyle w:val="Header"/>
              <w:tabs>
                <w:tab w:val="clear" w:pos="4320"/>
                <w:tab w:val="clear" w:pos="8640"/>
              </w:tabs>
              <w:jc w:val="both"/>
              <w:rPr>
                <w:rFonts w:ascii="Arial" w:hAnsi="Arial" w:cs="Arial"/>
                <w:b/>
                <w:u w:val="single"/>
              </w:rPr>
            </w:pPr>
            <w:r>
              <w:rPr>
                <w:rFonts w:cs="Arial" w:ascii="Arial" w:hAnsi="Arial"/>
                <w:b/>
                <w:u w:val="single"/>
              </w:rPr>
              <w:t>Form/Document/Certificate</w:t>
            </w:r>
          </w:p>
        </w:tc>
        <w:tc>
          <w:tcPr>
            <w:tcW w:w="2220" w:type="dxa"/>
            <w:tcBorders/>
          </w:tcPr>
          <w:p>
            <w:pPr>
              <w:pStyle w:val="Header"/>
              <w:tabs>
                <w:tab w:val="clear" w:pos="4320"/>
                <w:tab w:val="clear" w:pos="8640"/>
              </w:tabs>
              <w:snapToGrid w:val="false"/>
              <w:jc w:val="both"/>
              <w:rPr>
                <w:rFonts w:ascii="Arial" w:hAnsi="Arial" w:cs="Arial"/>
                <w:b/>
                <w:u w:val="single"/>
              </w:rPr>
            </w:pPr>
            <w:r>
              <w:rPr>
                <w:rFonts w:cs="Arial" w:ascii="Arial" w:hAnsi="Arial"/>
                <w:b/>
                <w:u w:val="single"/>
              </w:rPr>
            </w:r>
          </w:p>
          <w:p>
            <w:pPr>
              <w:pStyle w:val="Header"/>
              <w:tabs>
                <w:tab w:val="clear" w:pos="4320"/>
                <w:tab w:val="clear" w:pos="8640"/>
              </w:tabs>
              <w:jc w:val="center"/>
              <w:rPr>
                <w:rFonts w:ascii="Arial" w:hAnsi="Arial" w:cs="Arial"/>
                <w:b/>
              </w:rPr>
            </w:pPr>
            <w:r>
              <w:rPr>
                <w:rFonts w:cs="Arial" w:ascii="Arial" w:hAnsi="Arial"/>
                <w:b/>
              </w:rPr>
              <w:t>Date by Which</w:t>
            </w:r>
          </w:p>
          <w:p>
            <w:pPr>
              <w:pStyle w:val="Header"/>
              <w:tabs>
                <w:tab w:val="clear" w:pos="4320"/>
                <w:tab w:val="clear" w:pos="8640"/>
              </w:tabs>
              <w:jc w:val="center"/>
              <w:rPr>
                <w:rFonts w:ascii="Arial" w:hAnsi="Arial" w:cs="Arial"/>
                <w:b/>
              </w:rPr>
            </w:pPr>
            <w:r>
              <w:rPr>
                <w:rFonts w:cs="Arial" w:ascii="Arial" w:hAnsi="Arial"/>
                <w:b/>
              </w:rPr>
              <w:t>t</w:t>
            </w:r>
            <w:r>
              <w:rPr>
                <w:rFonts w:cs="Arial" w:ascii="Arial" w:hAnsi="Arial"/>
                <w:b/>
                <w:u w:val="single"/>
              </w:rPr>
              <w:t>o be Delivered</w:t>
            </w:r>
          </w:p>
        </w:tc>
        <w:tc>
          <w:tcPr>
            <w:tcW w:w="1684" w:type="dxa"/>
            <w:tcBorders/>
          </w:tcPr>
          <w:p>
            <w:pPr>
              <w:pStyle w:val="Header"/>
              <w:tabs>
                <w:tab w:val="clear" w:pos="4320"/>
                <w:tab w:val="clear" w:pos="8640"/>
              </w:tabs>
              <w:jc w:val="center"/>
              <w:rPr>
                <w:rFonts w:ascii="Arial" w:hAnsi="Arial" w:cs="Arial"/>
                <w:b/>
              </w:rPr>
            </w:pPr>
            <w:r>
              <w:rPr>
                <w:rFonts w:cs="Arial" w:ascii="Arial" w:hAnsi="Arial"/>
                <w:b/>
              </w:rPr>
              <w:t>Covered by</w:t>
            </w:r>
          </w:p>
          <w:p>
            <w:pPr>
              <w:pStyle w:val="Header"/>
              <w:tabs>
                <w:tab w:val="clear" w:pos="4320"/>
                <w:tab w:val="clear" w:pos="8640"/>
              </w:tabs>
              <w:jc w:val="center"/>
              <w:rPr>
                <w:rFonts w:ascii="Arial" w:hAnsi="Arial" w:cs="Arial"/>
                <w:b/>
              </w:rPr>
            </w:pPr>
            <w:r>
              <w:rPr>
                <w:rFonts w:cs="Arial" w:ascii="Arial" w:hAnsi="Arial"/>
                <w:b/>
              </w:rPr>
              <w:t>Section 3(d)</w:t>
            </w:r>
          </w:p>
          <w:p>
            <w:pPr>
              <w:pStyle w:val="Header"/>
              <w:tabs>
                <w:tab w:val="clear" w:pos="4320"/>
                <w:tab w:val="clear" w:pos="8640"/>
              </w:tabs>
              <w:jc w:val="center"/>
              <w:rPr>
                <w:rFonts w:ascii="Arial" w:hAnsi="Arial" w:cs="Arial"/>
                <w:b/>
                <w:u w:val="single"/>
              </w:rPr>
            </w:pPr>
            <w:r>
              <w:rPr>
                <w:rFonts w:cs="Arial" w:ascii="Arial" w:hAnsi="Arial"/>
                <w:b/>
                <w:u w:val="single"/>
              </w:rPr>
              <w:t>Representation</w:t>
            </w:r>
          </w:p>
        </w:tc>
      </w:tr>
      <w:tr>
        <w:trPr/>
        <w:tc>
          <w:tcPr>
            <w:tcW w:w="1837" w:type="dxa"/>
            <w:tcBorders/>
          </w:tcPr>
          <w:p>
            <w:pPr>
              <w:pStyle w:val="Header"/>
              <w:tabs>
                <w:tab w:val="clear" w:pos="4320"/>
                <w:tab w:val="clear" w:pos="8640"/>
              </w:tabs>
              <w:snapToGrid w:val="false"/>
              <w:jc w:val="both"/>
              <w:rPr>
                <w:rFonts w:ascii="Arial" w:hAnsi="Arial" w:cs="Arial"/>
                <w:b/>
                <w:u w:val="single"/>
              </w:rPr>
            </w:pPr>
            <w:r>
              <w:rPr>
                <w:rFonts w:cs="Arial" w:ascii="Arial" w:hAnsi="Arial"/>
                <w:b/>
                <w:u w:val="single"/>
              </w:rPr>
            </w:r>
          </w:p>
          <w:p>
            <w:pPr>
              <w:pStyle w:val="Header"/>
              <w:tabs>
                <w:tab w:val="clear" w:pos="4320"/>
                <w:tab w:val="clear" w:pos="8640"/>
              </w:tabs>
              <w:jc w:val="both"/>
              <w:rPr>
                <w:rFonts w:ascii="Arial" w:hAnsi="Arial" w:cs="Arial"/>
              </w:rPr>
            </w:pPr>
            <w:r>
              <w:rPr>
                <w:rFonts w:cs="Arial" w:ascii="Arial" w:hAnsi="Arial"/>
              </w:rPr>
              <w:t>Party A</w:t>
            </w:r>
          </w:p>
        </w:tc>
        <w:tc>
          <w:tcPr>
            <w:tcW w:w="3835"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Duly executed Credit Support Document specified in Part 4(d)</w:t>
            </w:r>
          </w:p>
        </w:tc>
        <w:tc>
          <w:tcPr>
            <w:tcW w:w="2220"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At execution of this Master Agreement</w:t>
            </w:r>
          </w:p>
        </w:tc>
        <w:tc>
          <w:tcPr>
            <w:tcW w:w="1684"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Yes</w:t>
            </w:r>
          </w:p>
        </w:tc>
      </w:tr>
      <w:tr>
        <w:trPr/>
        <w:tc>
          <w:tcPr>
            <w:tcW w:w="1837"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 xml:space="preserve">Party A and Party B </w:t>
            </w:r>
          </w:p>
        </w:tc>
        <w:tc>
          <w:tcPr>
            <w:tcW w:w="3835"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Evidence of authority and specimen signatures with respect to the party’s and its Credit Support Provider’s (if any) signatories executing this Agreement or any Credit Support Document</w:t>
            </w:r>
          </w:p>
        </w:tc>
        <w:tc>
          <w:tcPr>
            <w:tcW w:w="2220"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At execution of this Master Agreement</w:t>
            </w:r>
          </w:p>
        </w:tc>
        <w:tc>
          <w:tcPr>
            <w:tcW w:w="1684"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Yes</w:t>
            </w:r>
          </w:p>
        </w:tc>
      </w:tr>
      <w:tr>
        <w:trPr/>
        <w:tc>
          <w:tcPr>
            <w:tcW w:w="1837"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Party A and Party B</w:t>
            </w:r>
          </w:p>
        </w:tc>
        <w:tc>
          <w:tcPr>
            <w:tcW w:w="3835"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 Certificate certifying resolutions of each party’s board of directors (i) authorizing this Agreement and the Transactions contemplated hereby and (ii) authorizing a specified person or persons to execute and deliver on its behalf this Agreement</w:t>
            </w:r>
          </w:p>
        </w:tc>
        <w:tc>
          <w:tcPr>
            <w:tcW w:w="2220"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At execution of this Maser Agreement</w:t>
            </w:r>
          </w:p>
        </w:tc>
        <w:tc>
          <w:tcPr>
            <w:tcW w:w="1684"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Yes</w:t>
            </w:r>
          </w:p>
        </w:tc>
      </w:tr>
      <w:tr>
        <w:trPr/>
        <w:tc>
          <w:tcPr>
            <w:tcW w:w="1837"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Party A</w:t>
            </w:r>
          </w:p>
        </w:tc>
        <w:tc>
          <w:tcPr>
            <w:tcW w:w="3835"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Most recent Annual Audited Consolidated Financial Statement of Party A’s Credit Support Provider certified by independent public accountants</w:t>
            </w:r>
          </w:p>
        </w:tc>
        <w:tc>
          <w:tcPr>
            <w:tcW w:w="2220"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Promptly following demand by Party A</w:t>
            </w:r>
          </w:p>
        </w:tc>
        <w:tc>
          <w:tcPr>
            <w:tcW w:w="1684"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Yes</w:t>
            </w:r>
          </w:p>
        </w:tc>
      </w:tr>
      <w:tr>
        <w:trPr/>
        <w:tc>
          <w:tcPr>
            <w:tcW w:w="1837"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Party A</w:t>
            </w:r>
          </w:p>
        </w:tc>
        <w:tc>
          <w:tcPr>
            <w:tcW w:w="3835"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Most recent Quarterly Unaudited Consolidated Financial Statement of Party A’s Credit Support Provider</w:t>
            </w:r>
          </w:p>
        </w:tc>
        <w:tc>
          <w:tcPr>
            <w:tcW w:w="2220"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Promptly following demand by Party B</w:t>
            </w:r>
          </w:p>
        </w:tc>
        <w:tc>
          <w:tcPr>
            <w:tcW w:w="1684"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Yes</w:t>
            </w:r>
          </w:p>
        </w:tc>
      </w:tr>
      <w:tr>
        <w:trPr/>
        <w:tc>
          <w:tcPr>
            <w:tcW w:w="1837"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Party B</w:t>
            </w:r>
          </w:p>
        </w:tc>
        <w:tc>
          <w:tcPr>
            <w:tcW w:w="3835"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Most recent Annual Audited Consolidated Financial Statement of Party B certified by independent public accountants</w:t>
            </w:r>
          </w:p>
        </w:tc>
        <w:tc>
          <w:tcPr>
            <w:tcW w:w="2220"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Promptly following demand by Party A</w:t>
            </w:r>
          </w:p>
        </w:tc>
        <w:tc>
          <w:tcPr>
            <w:tcW w:w="1684"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Yes</w:t>
            </w:r>
          </w:p>
        </w:tc>
      </w:tr>
      <w:tr>
        <w:trPr/>
        <w:tc>
          <w:tcPr>
            <w:tcW w:w="1837"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Party B</w:t>
            </w:r>
          </w:p>
        </w:tc>
        <w:tc>
          <w:tcPr>
            <w:tcW w:w="3835"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Most recent Quarterly Unaudited Consolidated Financial Statement of Party B</w:t>
            </w:r>
          </w:p>
        </w:tc>
        <w:tc>
          <w:tcPr>
            <w:tcW w:w="2220"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Promptly following demand by Party A</w:t>
            </w:r>
          </w:p>
        </w:tc>
        <w:tc>
          <w:tcPr>
            <w:tcW w:w="1684" w:type="dxa"/>
            <w:tcBorders/>
          </w:tcPr>
          <w:p>
            <w:pPr>
              <w:pStyle w:val="Header"/>
              <w:tabs>
                <w:tab w:val="clear" w:pos="4320"/>
                <w:tab w:val="clear" w:pos="8640"/>
              </w:tabs>
              <w:snapToGrid w:val="false"/>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Yes</w:t>
            </w:r>
          </w:p>
        </w:tc>
      </w:tr>
    </w:tbl>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0"/>
        </w:numPr>
        <w:tabs>
          <w:tab w:val="clear" w:pos="4320"/>
          <w:tab w:val="clear" w:pos="8640"/>
        </w:tabs>
        <w:jc w:val="both"/>
        <w:outlineLvl w:val="0"/>
        <w:rPr>
          <w:rFonts w:ascii="Arial" w:hAnsi="Arial" w:cs="Arial"/>
          <w:b/>
        </w:rPr>
      </w:pPr>
      <w:r>
        <w:rPr>
          <w:rFonts w:cs="Arial" w:ascii="Arial" w:hAnsi="Arial"/>
          <w:b/>
        </w:rPr>
        <w:t>Part 4.  Miscellaneous</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2"/>
        </w:numPr>
        <w:tabs>
          <w:tab w:val="clear" w:pos="4320"/>
          <w:tab w:val="clear" w:pos="8640"/>
        </w:tabs>
        <w:jc w:val="both"/>
        <w:rPr>
          <w:rFonts w:ascii="Arial" w:hAnsi="Arial" w:cs="Arial"/>
        </w:rPr>
      </w:pPr>
      <w:r>
        <w:rPr>
          <w:rFonts w:cs="Arial" w:ascii="Arial" w:hAnsi="Arial"/>
          <w:b/>
        </w:rPr>
        <w:t>Address for Notices.</w:t>
      </w:r>
      <w:r>
        <w:rPr>
          <w:rFonts w:cs="Arial" w:ascii="Arial" w:hAnsi="Arial"/>
        </w:rPr>
        <w:t xml:space="preserve">  Section 12(a) is hereby amended to delete the following words </w:t>
      </w:r>
    </w:p>
    <w:p>
      <w:pPr>
        <w:pStyle w:val="Header"/>
        <w:tabs>
          <w:tab w:val="clear" w:pos="4320"/>
          <w:tab w:val="clear" w:pos="8640"/>
        </w:tabs>
        <w:jc w:val="both"/>
        <w:rPr>
          <w:rFonts w:ascii="Arial" w:hAnsi="Arial" w:cs="Arial"/>
        </w:rPr>
      </w:pPr>
      <w:r>
        <w:rPr>
          <w:rFonts w:cs="Arial" w:ascii="Arial" w:hAnsi="Arial"/>
        </w:rPr>
        <w:t>from the third line thereof:  “facsimile transmission or”.  For the purpose of Section 12(a) of this Agreement:</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jc w:val="both"/>
        <w:rPr>
          <w:rFonts w:ascii="Arial" w:hAnsi="Arial" w:cs="Arial"/>
        </w:rPr>
      </w:pPr>
      <w:r>
        <w:rPr>
          <w:rFonts w:cs="Arial" w:ascii="Arial" w:hAnsi="Arial"/>
        </w:rPr>
        <w:t>Addresses for notices or communications to Party A:</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Address:</w:t>
        <w:tab/>
        <w:tab/>
        <w:t>Enovate L.L.C.</w:t>
        <w:tab/>
        <w:tab/>
        <w:tab/>
        <w:tab/>
        <w:t xml:space="preserve">Facsimile No.: </w:t>
      </w:r>
    </w:p>
    <w:p>
      <w:pPr>
        <w:pStyle w:val="Header"/>
        <w:tabs>
          <w:tab w:val="clear" w:pos="4320"/>
          <w:tab w:val="clear" w:pos="8640"/>
        </w:tabs>
        <w:jc w:val="both"/>
        <w:rPr>
          <w:rFonts w:ascii="Arial" w:hAnsi="Arial" w:cs="Arial"/>
        </w:rPr>
      </w:pPr>
      <w:r>
        <w:rPr>
          <w:rFonts w:cs="Arial" w:ascii="Arial" w:hAnsi="Arial"/>
        </w:rPr>
        <w:tab/>
        <w:tab/>
        <w:tab/>
        <w:tab/>
        <w:tab/>
        <w:tab/>
        <w:tab/>
        <w:tab/>
        <w:t xml:space="preserve">Telephone No.: </w:t>
      </w:r>
    </w:p>
    <w:p>
      <w:pPr>
        <w:pStyle w:val="Header"/>
        <w:tabs>
          <w:tab w:val="clear" w:pos="4320"/>
          <w:tab w:val="clear" w:pos="8640"/>
        </w:tabs>
        <w:jc w:val="both"/>
        <w:rPr>
          <w:rFonts w:ascii="Arial" w:hAnsi="Arial" w:cs="Arial"/>
        </w:rPr>
      </w:pPr>
      <w:r>
        <w:rPr>
          <w:rFonts w:cs="Arial" w:ascii="Arial" w:hAnsi="Arial"/>
        </w:rPr>
        <w:tab/>
        <w:tab/>
      </w:r>
    </w:p>
    <w:p>
      <w:pPr>
        <w:pStyle w:val="Header"/>
        <w:tabs>
          <w:tab w:val="clear" w:pos="4320"/>
          <w:tab w:val="clear" w:pos="8640"/>
        </w:tabs>
        <w:jc w:val="both"/>
        <w:rPr>
          <w:rFonts w:ascii="Arial" w:hAnsi="Arial" w:cs="Arial"/>
        </w:rPr>
      </w:pPr>
      <w:r>
        <w:rPr>
          <w:rFonts w:cs="Arial" w:ascii="Arial" w:hAnsi="Arial"/>
        </w:rPr>
        <w:t>Street Address:</w:t>
        <w:tab/>
        <w:tab/>
      </w:r>
    </w:p>
    <w:p>
      <w:pPr>
        <w:pStyle w:val="Header"/>
        <w:tabs>
          <w:tab w:val="clear" w:pos="4320"/>
          <w:tab w:val="clear" w:pos="8640"/>
        </w:tabs>
        <w:jc w:val="both"/>
        <w:rPr>
          <w:rFonts w:ascii="Arial" w:hAnsi="Arial" w:cs="Arial"/>
        </w:rPr>
      </w:pPr>
      <w:r>
        <w:rPr>
          <w:rFonts w:cs="Arial" w:ascii="Arial" w:hAnsi="Arial"/>
        </w:rPr>
        <w:t>(for courier delivery)</w:t>
        <w:tab/>
      </w:r>
    </w:p>
    <w:p>
      <w:pPr>
        <w:pStyle w:val="Header"/>
        <w:tabs>
          <w:tab w:val="clear" w:pos="4320"/>
          <w:tab w:val="clear" w:pos="8640"/>
        </w:tabs>
        <w:jc w:val="both"/>
        <w:rPr>
          <w:rFonts w:ascii="Arial" w:hAnsi="Arial" w:cs="Arial"/>
        </w:rPr>
      </w:pPr>
      <w:r>
        <w:rPr>
          <w:rFonts w:cs="Arial" w:ascii="Arial" w:hAnsi="Arial"/>
        </w:rPr>
        <w:tab/>
        <w:tab/>
        <w:tab/>
        <w:t xml:space="preserve">Attn:  </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rPr>
        <w:t xml:space="preserve">A copy of any notice sent to Party A pursuant to Section 5 or 6 or </w:t>
      </w:r>
      <w:r>
        <w:rPr>
          <w:rFonts w:cs="Arial" w:ascii="Arial" w:hAnsi="Arial"/>
          <w:u w:val="single"/>
        </w:rPr>
        <w:t>Annex A</w:t>
      </w:r>
      <w:r>
        <w:rPr>
          <w:rFonts w:cs="Arial" w:ascii="Arial" w:hAnsi="Arial"/>
        </w:rPr>
        <w:t xml:space="preserve"> must also be sent to:</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Address for notices or communications for Party B:</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Address:</w:t>
        <w:tab/>
        <w:tab/>
        <w:t>Peoples Energy Corporation</w:t>
        <w:tab/>
        <w:tab/>
        <w:t>Facsimile No.:  (312) 240-7513</w:t>
      </w:r>
    </w:p>
    <w:p>
      <w:pPr>
        <w:pStyle w:val="Header"/>
        <w:tabs>
          <w:tab w:val="clear" w:pos="4320"/>
          <w:tab w:val="clear" w:pos="8640"/>
        </w:tabs>
        <w:jc w:val="both"/>
        <w:rPr>
          <w:rFonts w:ascii="Arial" w:hAnsi="Arial" w:cs="Arial"/>
        </w:rPr>
      </w:pPr>
      <w:r>
        <w:rPr>
          <w:rFonts w:cs="Arial" w:ascii="Arial" w:hAnsi="Arial"/>
        </w:rPr>
        <w:t>Street Address:</w:t>
        <w:tab/>
        <w:tab/>
        <w:t>130 East Randolph</w:t>
        <w:tab/>
        <w:tab/>
        <w:tab/>
        <w:t>Telephone No.: ((312) 240-7587</w:t>
      </w:r>
    </w:p>
    <w:p>
      <w:pPr>
        <w:pStyle w:val="Header"/>
        <w:tabs>
          <w:tab w:val="clear" w:pos="4320"/>
          <w:tab w:val="clear" w:pos="8640"/>
        </w:tabs>
        <w:jc w:val="both"/>
        <w:rPr>
          <w:rFonts w:ascii="Arial" w:hAnsi="Arial" w:cs="Arial"/>
        </w:rPr>
      </w:pPr>
      <w:r>
        <w:rPr>
          <w:rFonts w:cs="Arial" w:ascii="Arial" w:hAnsi="Arial"/>
        </w:rPr>
        <w:t>(for courier delivery)</w:t>
        <w:tab/>
        <w:t>Chicago, Illinois 60601</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With a copy to:</w:t>
        <w:tab/>
        <w:tab/>
        <w:t>Attn.:  Gas Accounting</w:t>
        <w:tab/>
        <w:tab/>
        <w:tab/>
        <w:t>Facsimile No.:  (312) 240-7513</w:t>
      </w:r>
    </w:p>
    <w:p>
      <w:pPr>
        <w:pStyle w:val="Header"/>
        <w:tabs>
          <w:tab w:val="clear" w:pos="4320"/>
          <w:tab w:val="clear" w:pos="8640"/>
        </w:tabs>
        <w:jc w:val="both"/>
        <w:rPr>
          <w:rFonts w:ascii="Arial" w:hAnsi="Arial" w:cs="Arial"/>
        </w:rPr>
      </w:pPr>
      <w:r>
        <w:rPr>
          <w:rFonts w:cs="Arial" w:ascii="Arial" w:hAnsi="Arial"/>
        </w:rPr>
        <w:tab/>
        <w:tab/>
        <w:tab/>
        <w:tab/>
        <w:tab/>
        <w:tab/>
        <w:tab/>
        <w:tab/>
        <w:t>Telephone No.:  (312) 240-3877</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2"/>
        </w:numPr>
        <w:tabs>
          <w:tab w:val="clear" w:pos="4320"/>
          <w:tab w:val="clear" w:pos="8640"/>
        </w:tabs>
        <w:jc w:val="both"/>
        <w:rPr>
          <w:rFonts w:ascii="Arial" w:hAnsi="Arial" w:cs="Arial"/>
        </w:rPr>
      </w:pPr>
      <w:r>
        <w:rPr>
          <w:rFonts w:cs="Arial" w:ascii="Arial" w:hAnsi="Arial"/>
          <w:b/>
        </w:rPr>
        <w:t>Offices; Multibranch Parties.</w:t>
      </w:r>
      <w:r>
        <w:rPr>
          <w:rFonts w:cs="Arial" w:ascii="Arial" w:hAnsi="Arial"/>
        </w:rPr>
        <w:t xml:space="preserve">  The provisions of Section 10(a) will be applicable.  For </w:t>
      </w:r>
    </w:p>
    <w:p>
      <w:pPr>
        <w:pStyle w:val="Header"/>
        <w:tabs>
          <w:tab w:val="clear" w:pos="4320"/>
          <w:tab w:val="clear" w:pos="8640"/>
        </w:tabs>
        <w:jc w:val="both"/>
        <w:rPr>
          <w:rFonts w:ascii="Arial" w:hAnsi="Arial" w:cs="Arial"/>
        </w:rPr>
      </w:pPr>
      <w:r>
        <w:rPr>
          <w:rFonts w:cs="Arial" w:ascii="Arial" w:hAnsi="Arial"/>
        </w:rPr>
        <w:t>the purpose of Section 10(c):  Party A is not a Multibranch Party and Party B is not a Multibranch party.</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2"/>
        </w:numPr>
        <w:tabs>
          <w:tab w:val="clear" w:pos="4320"/>
          <w:tab w:val="clear" w:pos="8640"/>
        </w:tabs>
        <w:jc w:val="both"/>
        <w:rPr>
          <w:rFonts w:ascii="Arial" w:hAnsi="Arial" w:cs="Arial"/>
        </w:rPr>
      </w:pPr>
      <w:r>
        <w:rPr>
          <w:rFonts w:cs="Arial" w:ascii="Arial" w:hAnsi="Arial"/>
          <w:b/>
        </w:rPr>
        <w:t>Calculation Agent.</w:t>
      </w:r>
      <w:r>
        <w:rPr>
          <w:rFonts w:cs="Arial" w:ascii="Arial" w:hAnsi="Arial"/>
        </w:rPr>
        <w:t xml:space="preserve">  Party A and Party B shall be co-Calculation Agents with all </w:t>
      </w:r>
    </w:p>
    <w:p>
      <w:pPr>
        <w:pStyle w:val="Header"/>
        <w:tabs>
          <w:tab w:val="clear" w:pos="4320"/>
          <w:tab w:val="clear" w:pos="8640"/>
        </w:tabs>
        <w:jc w:val="both"/>
        <w:rPr/>
      </w:pPr>
      <w:r>
        <w:rPr>
          <w:rFonts w:cs="Arial" w:ascii="Arial" w:hAnsi="Arial"/>
        </w:rPr>
        <w:t xml:space="preserve">calculations and determinations hereunder being subject to the review and agreement of Party A and Party B (an “Agreed Calculation” and an “Agreed Determination”, respectively), each using its reasonable efforts to resolve expeditiously any disagreements concerning such calculations and determinations.  If Party A and Party B cannot reach an Agreed Calculation or an Agreed Determination, then they will appoint promptly and jointly three independent leading dealers in the relevant market each to make the relevant calculation or determination, in which case the Agreed Calculation shall be the arithmetic mean of the three calculations by the appointed dealers and the Agreed Determination shall be the determination agreed upon by at least two of the three dealers; </w:t>
      </w:r>
      <w:r>
        <w:rPr>
          <w:rFonts w:cs="Arial" w:ascii="Arial" w:hAnsi="Arial"/>
          <w:i/>
        </w:rPr>
        <w:t>provided, however,</w:t>
      </w:r>
      <w:r>
        <w:rPr>
          <w:rFonts w:cs="Arial" w:ascii="Arial" w:hAnsi="Arial"/>
        </w:rPr>
        <w:t xml:space="preserve"> if fewer than three dealers provide a calculation or determination, then Party A and Party B agree to appoint promptly and jointly such number of additional dealers such that Party A and Party B shall receive three calculations or determinations.  The Agreed Calculation or Agreed Determination reach by such dealers will be conclusive and binding absent manifest error.</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2"/>
        </w:numPr>
        <w:tabs>
          <w:tab w:val="clear" w:pos="4320"/>
          <w:tab w:val="clear" w:pos="8640"/>
        </w:tabs>
        <w:jc w:val="both"/>
        <w:rPr>
          <w:rFonts w:ascii="Arial" w:hAnsi="Arial" w:cs="Arial"/>
        </w:rPr>
      </w:pPr>
      <w:r>
        <w:rPr>
          <w:rFonts w:cs="Arial" w:ascii="Arial" w:hAnsi="Arial"/>
          <w:b/>
        </w:rPr>
        <w:t>Credit Support Documents.</w:t>
      </w:r>
      <w:r>
        <w:rPr>
          <w:rFonts w:cs="Arial" w:ascii="Arial" w:hAnsi="Arial"/>
        </w:rPr>
        <w:t xml:space="preserve">  Details of any Credit Support Document, each of which is </w:t>
      </w:r>
    </w:p>
    <w:p>
      <w:pPr>
        <w:pStyle w:val="Header"/>
        <w:tabs>
          <w:tab w:val="clear" w:pos="4320"/>
          <w:tab w:val="clear" w:pos="8640"/>
        </w:tabs>
        <w:jc w:val="both"/>
        <w:rPr/>
      </w:pPr>
      <w:r>
        <w:rPr>
          <w:rFonts w:cs="Arial" w:ascii="Arial" w:hAnsi="Arial"/>
        </w:rPr>
        <w:t xml:space="preserve">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rFonts w:cs="Arial" w:ascii="Arial" w:hAnsi="Arial"/>
          <w:u w:val="single"/>
        </w:rPr>
        <w:t>Exhibit A</w:t>
      </w:r>
      <w:r>
        <w:rPr>
          <w:rFonts w:cs="Arial" w:ascii="Arial" w:hAnsi="Arial"/>
        </w:rPr>
        <w:t xml:space="preserve">, and (ii) ISDA Credit Support Annex attached hereto as </w:t>
      </w:r>
      <w:r>
        <w:rPr>
          <w:rFonts w:cs="Arial" w:ascii="Arial" w:hAnsi="Arial"/>
          <w:u w:val="single"/>
        </w:rPr>
        <w:t>Annex A</w:t>
      </w:r>
      <w:r>
        <w:rPr>
          <w:rFonts w:cs="Arial" w:ascii="Arial" w:hAnsi="Arial"/>
        </w:rPr>
        <w:t>.</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2"/>
        </w:numPr>
        <w:tabs>
          <w:tab w:val="clear" w:pos="4320"/>
          <w:tab w:val="clear" w:pos="8640"/>
        </w:tabs>
        <w:jc w:val="both"/>
        <w:rPr>
          <w:rFonts w:ascii="Arial" w:hAnsi="Arial" w:cs="Arial"/>
        </w:rPr>
      </w:pPr>
      <w:r>
        <w:rPr>
          <w:rFonts w:cs="Arial" w:ascii="Arial" w:hAnsi="Arial"/>
          <w:b/>
        </w:rPr>
        <w:t>Credit Support Provider.</w:t>
      </w:r>
      <w:r>
        <w:rPr>
          <w:rFonts w:cs="Arial" w:ascii="Arial" w:hAnsi="Arial"/>
        </w:rPr>
        <w:t xml:space="preserve">  (i) Credit Support Provider means in relation to Party A, Enron Corp., and (ii) Credit Support provider means in relation to party B, none.</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ind w:start="720" w:end="0"/>
        <w:jc w:val="both"/>
        <w:rPr/>
      </w:pPr>
      <w:r>
        <w:rPr>
          <w:rFonts w:cs="Arial" w:ascii="Arial" w:hAnsi="Arial"/>
        </w:rPr>
        <w:t>(f)</w:t>
        <w:tab/>
      </w:r>
      <w:r>
        <w:rPr>
          <w:rFonts w:cs="Arial" w:ascii="Arial" w:hAnsi="Arial"/>
          <w:b/>
        </w:rPr>
        <w:t>Netting of Payments.</w:t>
      </w:r>
      <w:r>
        <w:rPr>
          <w:rFonts w:cs="Arial" w:ascii="Arial" w:hAnsi="Arial"/>
        </w:rPr>
        <w:t xml:space="preserve">  Subparagraph (ii) of Section 2(c) will not apply to all</w:t>
      </w:r>
    </w:p>
    <w:p>
      <w:pPr>
        <w:pStyle w:val="Header"/>
        <w:tabs>
          <w:tab w:val="clear" w:pos="4320"/>
          <w:tab w:val="clear" w:pos="8640"/>
        </w:tabs>
        <w:jc w:val="both"/>
        <w:rPr>
          <w:rFonts w:ascii="Arial" w:hAnsi="Arial" w:cs="Arial"/>
        </w:rPr>
      </w:pPr>
      <w:r>
        <w:rPr>
          <w:rFonts w:cs="Arial" w:ascii="Arial" w:hAnsi="Arial"/>
        </w:rPr>
        <w:t>Transactions.</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firstLine="720" w:end="0"/>
        <w:jc w:val="both"/>
        <w:rPr/>
      </w:pPr>
      <w:r>
        <w:rPr>
          <w:rFonts w:cs="Arial" w:ascii="Arial" w:hAnsi="Arial"/>
        </w:rPr>
        <w:t>(g)</w:t>
      </w:r>
      <w:r>
        <w:rPr>
          <w:rFonts w:cs="Arial" w:ascii="Arial" w:hAnsi="Arial"/>
          <w:b/>
        </w:rPr>
        <w:tab/>
        <w:t xml:space="preserve">Governing Law.  This Agreement and each Confirmation will be governed by, and </w:t>
      </w:r>
    </w:p>
    <w:p>
      <w:pPr>
        <w:pStyle w:val="Header"/>
        <w:tabs>
          <w:tab w:val="clear" w:pos="4320"/>
          <w:tab w:val="clear" w:pos="8640"/>
        </w:tabs>
        <w:jc w:val="both"/>
        <w:rPr>
          <w:rFonts w:ascii="Arial" w:hAnsi="Arial" w:cs="Arial"/>
          <w:b/>
        </w:rPr>
      </w:pPr>
      <w:r>
        <w:rPr>
          <w:rFonts w:cs="Arial" w:ascii="Arial" w:hAnsi="Arial"/>
          <w:b/>
        </w:rPr>
        <w:t>construed, interpreted, and enforced in accordance with, the substantive law of the Sate of New York (without reference to its choice of law doctrine).</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11"/>
        </w:numPr>
        <w:tabs>
          <w:tab w:val="clear" w:pos="4320"/>
          <w:tab w:val="clear" w:pos="8640"/>
        </w:tabs>
        <w:jc w:val="both"/>
        <w:rPr>
          <w:rFonts w:ascii="Arial" w:hAnsi="Arial" w:cs="Arial"/>
        </w:rPr>
      </w:pPr>
      <w:r>
        <w:rPr>
          <w:rFonts w:cs="Arial" w:ascii="Arial" w:hAnsi="Arial"/>
          <w:b/>
        </w:rPr>
        <w:t xml:space="preserve">Jurisdiction.  </w:t>
      </w:r>
      <w:r>
        <w:rPr>
          <w:rFonts w:cs="Arial" w:ascii="Arial" w:hAnsi="Arial"/>
        </w:rPr>
        <w:t>Section 13(b) is hereby deleted in its entirety and replaced with the following:</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ind w:firstLine="720" w:start="720" w:end="0"/>
        <w:jc w:val="both"/>
        <w:rPr/>
      </w:pPr>
      <w:r>
        <w:rPr>
          <w:rFonts w:cs="Arial" w:ascii="Arial" w:hAnsi="Arial"/>
        </w:rPr>
        <w:t xml:space="preserve">(b) </w:t>
        <w:tab/>
      </w:r>
      <w:r>
        <w:rPr>
          <w:rFonts w:cs="Arial" w:ascii="Arial" w:hAnsi="Arial"/>
          <w:b/>
        </w:rPr>
        <w:t>Agreement to Arbitrate:</w:t>
      </w:r>
      <w:r>
        <w:rPr>
          <w:rFonts w:cs="Arial" w:ascii="Arial" w:hAnsi="Arial"/>
        </w:rPr>
        <w:t xml:space="preserve">  Any claim, counterclaim, demand, cause of action, </w:t>
      </w:r>
    </w:p>
    <w:p>
      <w:pPr>
        <w:pStyle w:val="Header"/>
        <w:tabs>
          <w:tab w:val="clear" w:pos="4320"/>
          <w:tab w:val="clear" w:pos="8640"/>
        </w:tabs>
        <w:jc w:val="both"/>
        <w:rPr>
          <w:rFonts w:ascii="Arial" w:hAnsi="Arial" w:cs="Arial"/>
        </w:rPr>
      </w:pPr>
      <w:r>
        <w:rPr>
          <w:rFonts w:cs="Arial" w:ascii="Arial" w:hAnsi="Arial"/>
        </w:rPr>
        <w:t>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rPr>
        <w:tab/>
        <w:tab/>
      </w:r>
      <w:r>
        <w:rPr>
          <w:rFonts w:cs="Arial" w:ascii="Arial" w:hAnsi="Arial"/>
          <w:b/>
        </w:rPr>
        <w:t>Conduct of the Arbitration, and Authority of the Arbitrators:</w:t>
      </w:r>
      <w:r>
        <w:rPr>
          <w:rFonts w:cs="Arial" w:ascii="Arial" w:hAnsi="Arial"/>
        </w:rPr>
        <w:t xml:space="preserve">  Arbitration shall be governed by the Federal Arbitration Act and conducted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rPr>
        <w:tab/>
        <w:tab/>
      </w:r>
      <w:r>
        <w:rPr>
          <w:rFonts w:cs="Arial" w:ascii="Arial" w:hAnsi="Arial"/>
          <w:b/>
        </w:rPr>
        <w:t xml:space="preserve">Forum for the Arbitration and Selection of Arbitrators:  </w:t>
      </w:r>
      <w:r>
        <w:rPr>
          <w:rFonts w:cs="Arial" w:ascii="Arial" w:hAnsi="Arial"/>
        </w:rPr>
        <w:t>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wither of the two party-appointed arbitrators or for vacating the arbitrator’s award that either of such arbitrators has past or present minimal relationships with the party that appointed such arbitrator.</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rPr>
        <w:tab/>
        <w:tab/>
      </w:r>
      <w:r>
        <w:rPr>
          <w:rFonts w:cs="Arial" w:ascii="Arial" w:hAnsi="Arial"/>
          <w:b/>
        </w:rPr>
        <w:t>Confidentiality:</w:t>
      </w:r>
      <w:r>
        <w:rPr>
          <w:rFonts w:cs="Arial" w:ascii="Arial" w:hAnsi="Arial"/>
        </w:rPr>
        <w:t xml:space="preserve">  To the fullest extent permitted by law, any arbitration proceeding and the arbitrators award shall be maintained in confidence by the parties.</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0"/>
        </w:numPr>
        <w:tabs>
          <w:tab w:val="clear" w:pos="4320"/>
          <w:tab w:val="clear" w:pos="8640"/>
        </w:tabs>
        <w:jc w:val="both"/>
        <w:outlineLvl w:val="0"/>
        <w:rPr>
          <w:rFonts w:ascii="Arial" w:hAnsi="Arial" w:cs="Arial"/>
          <w:b/>
        </w:rPr>
      </w:pPr>
      <w:r>
        <w:rPr>
          <w:rFonts w:cs="Arial" w:ascii="Arial" w:hAnsi="Arial"/>
          <w:b/>
        </w:rPr>
        <w:t>Part 5.  Other Provisions.</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4"/>
        </w:numPr>
        <w:tabs>
          <w:tab w:val="clear" w:pos="4320"/>
          <w:tab w:val="clear" w:pos="8640"/>
        </w:tabs>
        <w:jc w:val="both"/>
        <w:rPr>
          <w:rFonts w:ascii="Arial" w:hAnsi="Arial" w:cs="Arial"/>
        </w:rPr>
      </w:pPr>
      <w:r>
        <w:rPr>
          <w:rFonts w:cs="Arial" w:ascii="Arial" w:hAnsi="Arial"/>
          <w:b/>
        </w:rPr>
        <w:t>Conditions Precedent.</w:t>
      </w:r>
      <w:r>
        <w:rPr>
          <w:rFonts w:cs="Arial" w:ascii="Arial" w:hAnsi="Arial"/>
        </w:rPr>
        <w:t xml:space="preserve">  The condition precedent set forth in clause (1) of Section </w:t>
      </w:r>
    </w:p>
    <w:p>
      <w:pPr>
        <w:pStyle w:val="Header"/>
        <w:tabs>
          <w:tab w:val="clear" w:pos="4320"/>
          <w:tab w:val="clear" w:pos="8640"/>
        </w:tabs>
        <w:jc w:val="both"/>
        <w:rPr>
          <w:rFonts w:ascii="Arial" w:hAnsi="Arial" w:cs="Arial"/>
        </w:rPr>
      </w:pPr>
      <w:r>
        <w:rPr>
          <w:rFonts w:cs="Arial" w:ascii="Arial" w:hAnsi="Arial"/>
        </w:rPr>
        <w:t>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4"/>
        </w:numPr>
        <w:tabs>
          <w:tab w:val="clear" w:pos="4320"/>
          <w:tab w:val="clear" w:pos="8640"/>
        </w:tabs>
        <w:jc w:val="both"/>
        <w:rPr>
          <w:rFonts w:ascii="Arial" w:hAnsi="Arial" w:cs="Arial"/>
        </w:rPr>
      </w:pPr>
      <w:r>
        <w:rPr>
          <w:rFonts w:cs="Arial" w:ascii="Arial" w:hAnsi="Arial"/>
          <w:b/>
        </w:rPr>
        <w:t>Representations.</w:t>
      </w:r>
      <w:r>
        <w:rPr>
          <w:rFonts w:cs="Arial" w:ascii="Arial" w:hAnsi="Arial"/>
        </w:rPr>
        <w:t xml:space="preserve">  Section 3 is hereby amended by adding at the end thereof the following Subparagraphs (g), (h), (i), and (j):</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8"/>
        </w:numPr>
        <w:tabs>
          <w:tab w:val="clear" w:pos="4320"/>
          <w:tab w:val="clear" w:pos="8640"/>
          <w:tab w:val="left" w:pos="1440" w:leader="none"/>
          <w:tab w:val="left" w:pos="2160" w:leader="none"/>
        </w:tabs>
        <w:ind w:hanging="0" w:start="1440" w:end="0"/>
        <w:jc w:val="both"/>
        <w:rPr>
          <w:rFonts w:ascii="Arial" w:hAnsi="Arial" w:cs="Arial"/>
        </w:rPr>
      </w:pPr>
      <w:r>
        <w:rPr>
          <w:rFonts w:cs="Arial" w:ascii="Arial" w:hAnsi="Arial"/>
          <w:b/>
        </w:rPr>
        <w:t xml:space="preserve">Line of Business.  </w:t>
      </w:r>
      <w:r>
        <w:rPr>
          <w:rFonts w:cs="Arial" w:ascii="Arial" w:hAnsi="Arial"/>
        </w:rPr>
        <w:t xml:space="preserve">(i) It is entering into this Agreement, including without </w:t>
      </w:r>
    </w:p>
    <w:p>
      <w:pPr>
        <w:pStyle w:val="Header"/>
        <w:tabs>
          <w:tab w:val="clear" w:pos="4320"/>
          <w:tab w:val="clear" w:pos="8640"/>
        </w:tabs>
        <w:jc w:val="both"/>
        <w:rPr>
          <w:rFonts w:ascii="Arial" w:hAnsi="Arial" w:cs="Arial"/>
        </w:rPr>
      </w:pPr>
      <w:r>
        <w:rPr>
          <w:rFonts w:cs="Arial" w:ascii="Arial" w:hAnsi="Arial"/>
        </w:rPr>
        <w:t>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8"/>
        </w:numPr>
        <w:tabs>
          <w:tab w:val="clear" w:pos="4320"/>
          <w:tab w:val="clear" w:pos="8640"/>
          <w:tab w:val="left" w:pos="1440" w:leader="none"/>
        </w:tabs>
        <w:ind w:hanging="0" w:start="1440" w:end="0"/>
        <w:jc w:val="both"/>
        <w:rPr>
          <w:rFonts w:ascii="Arial" w:hAnsi="Arial" w:cs="Arial"/>
        </w:rPr>
      </w:pPr>
      <w:r>
        <w:rPr>
          <w:rFonts w:cs="Arial" w:ascii="Arial" w:hAnsi="Arial"/>
          <w:b/>
        </w:rPr>
        <w:t>Eligible Swap Participant.</w:t>
      </w:r>
      <w:r>
        <w:rPr>
          <w:rFonts w:cs="Arial" w:ascii="Arial" w:hAnsi="Arial"/>
        </w:rPr>
        <w:t xml:space="preserve">  It constitutes an “eligible swap participant” as such </w:t>
      </w:r>
    </w:p>
    <w:p>
      <w:pPr>
        <w:pStyle w:val="Header"/>
        <w:tabs>
          <w:tab w:val="clear" w:pos="4320"/>
          <w:tab w:val="clear" w:pos="8640"/>
        </w:tabs>
        <w:jc w:val="both"/>
        <w:rPr>
          <w:rFonts w:ascii="Arial" w:hAnsi="Arial" w:cs="Arial"/>
        </w:rPr>
      </w:pPr>
      <w:r>
        <w:rPr>
          <w:rFonts w:cs="Arial" w:ascii="Arial" w:hAnsi="Arial"/>
        </w:rPr>
        <w:t>term is defined in Rule 35.1(b)(2) of the Commodity Futures Trading Commission, 17 C.F.R. § 35.1(b)(2) (1993).</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8"/>
        </w:numPr>
        <w:tabs>
          <w:tab w:val="clear" w:pos="4320"/>
          <w:tab w:val="clear" w:pos="8640"/>
          <w:tab w:val="left" w:pos="1440" w:leader="none"/>
        </w:tabs>
        <w:ind w:hanging="0" w:start="1440" w:end="0"/>
        <w:jc w:val="both"/>
        <w:rPr>
          <w:rFonts w:ascii="Arial" w:hAnsi="Arial" w:cs="Arial"/>
        </w:rPr>
      </w:pPr>
      <w:r>
        <w:rPr>
          <w:rFonts w:cs="Arial" w:ascii="Arial" w:hAnsi="Arial"/>
          <w:b/>
        </w:rPr>
        <w:t>Standardization and Creditworthiness</w:t>
      </w:r>
      <w:r>
        <w:rPr>
          <w:rFonts w:cs="Arial" w:ascii="Arial" w:hAnsi="Arial"/>
        </w:rPr>
        <w:t xml:space="preserve">.  The economic terms of this Agreement, </w:t>
      </w:r>
    </w:p>
    <w:p>
      <w:pPr>
        <w:pStyle w:val="Header"/>
        <w:tabs>
          <w:tab w:val="clear" w:pos="4320"/>
          <w:tab w:val="clear" w:pos="8640"/>
        </w:tabs>
        <w:jc w:val="both"/>
        <w:rPr>
          <w:rFonts w:ascii="Arial" w:hAnsi="Arial" w:cs="Arial"/>
        </w:rPr>
      </w:pPr>
      <w:r>
        <w:rPr>
          <w:rFonts w:cs="Arial" w:ascii="Arial" w:hAnsi="Arial"/>
        </w:rPr>
        <w:t>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ind w:firstLine="720" w:start="720" w:end="0"/>
        <w:jc w:val="both"/>
        <w:rPr/>
      </w:pPr>
      <w:r>
        <w:rPr>
          <w:rFonts w:cs="Arial" w:ascii="Arial" w:hAnsi="Arial"/>
        </w:rPr>
        <w:t>(j)</w:t>
        <w:tab/>
      </w:r>
      <w:r>
        <w:rPr>
          <w:rFonts w:cs="Arial" w:ascii="Arial" w:hAnsi="Arial"/>
          <w:b/>
        </w:rPr>
        <w:t xml:space="preserve">No Reliance.  </w:t>
      </w:r>
      <w:r>
        <w:rPr>
          <w:rFonts w:cs="Arial" w:ascii="Arial" w:hAnsi="Arial"/>
        </w:rPr>
        <w:t xml:space="preserve">In connection with this Agreement, any Credit Support Document to </w:t>
      </w:r>
    </w:p>
    <w:p>
      <w:pPr>
        <w:pStyle w:val="Header"/>
        <w:tabs>
          <w:tab w:val="clear" w:pos="4320"/>
          <w:tab w:val="clear" w:pos="8640"/>
        </w:tabs>
        <w:jc w:val="both"/>
        <w:rPr>
          <w:rFonts w:ascii="Arial" w:hAnsi="Arial" w:cs="Arial"/>
        </w:rPr>
      </w:pPr>
      <w:r>
        <w:rPr>
          <w:rFonts w:cs="Arial" w:ascii="Arial" w:hAnsi="Arial"/>
        </w:rPr>
        <w:t>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judgement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the risks hereof and thereof (economic and otherwise), and it is capable of assuming and willing to assume those risks.</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4"/>
        </w:numPr>
        <w:tabs>
          <w:tab w:val="clear" w:pos="4320"/>
          <w:tab w:val="clear" w:pos="8640"/>
        </w:tabs>
        <w:jc w:val="both"/>
        <w:rPr>
          <w:rFonts w:ascii="Arial" w:hAnsi="Arial" w:cs="Arial"/>
        </w:rPr>
      </w:pPr>
      <w:r>
        <w:rPr>
          <w:rFonts w:cs="Arial" w:ascii="Arial" w:hAnsi="Arial"/>
          <w:b/>
        </w:rPr>
        <w:t xml:space="preserve">Additional Representations of Party B.  </w:t>
      </w:r>
      <w:r>
        <w:rPr>
          <w:rFonts w:cs="Arial" w:ascii="Arial" w:hAnsi="Arial"/>
        </w:rPr>
        <w:t>Party B hereby further represents and warrants to Party A (which representations will be deemed to be repeated by Party B at all times until the termination of this Agreement) that:</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 w:val="left" w:pos="1440" w:leader="none"/>
          <w:tab w:val="left" w:pos="2160" w:leader="none"/>
        </w:tabs>
        <w:ind w:start="1440" w:end="0"/>
        <w:jc w:val="both"/>
        <w:rPr>
          <w:rFonts w:ascii="Arial" w:hAnsi="Arial" w:cs="Arial"/>
        </w:rPr>
      </w:pPr>
      <w:r>
        <w:rPr>
          <w:rFonts w:cs="Arial" w:ascii="Arial" w:hAnsi="Arial"/>
        </w:rPr>
        <w:t>(i)</w:t>
        <w:tab/>
        <w:t>It is a public utility holding company organized under the laws of the</w:t>
      </w:r>
    </w:p>
    <w:p>
      <w:pPr>
        <w:pStyle w:val="Header"/>
        <w:tabs>
          <w:tab w:val="clear" w:pos="4320"/>
          <w:tab w:val="clear" w:pos="8640"/>
        </w:tabs>
        <w:jc w:val="both"/>
        <w:rPr>
          <w:rFonts w:ascii="Arial" w:hAnsi="Arial" w:cs="Arial"/>
        </w:rPr>
      </w:pPr>
      <w:r>
        <w:rPr>
          <w:rFonts w:eastAsia="Arial" w:cs="Arial" w:ascii="Arial" w:hAnsi="Arial"/>
        </w:rPr>
        <w:t xml:space="preserve"> </w:t>
      </w:r>
      <w:r>
        <w:rPr>
          <w:rFonts w:cs="Arial" w:ascii="Arial" w:hAnsi="Arial"/>
        </w:rPr>
        <w:tab/>
        <w:tab/>
        <w:tab/>
        <w:t>State of Illinois.</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1"/>
        </w:numPr>
        <w:tabs>
          <w:tab w:val="clear" w:pos="4320"/>
          <w:tab w:val="clear" w:pos="8640"/>
        </w:tabs>
        <w:jc w:val="both"/>
        <w:rPr>
          <w:rFonts w:ascii="Arial" w:hAnsi="Arial" w:cs="Arial"/>
        </w:rPr>
      </w:pPr>
      <w:r>
        <w:rPr>
          <w:rFonts w:cs="Arial" w:ascii="Arial" w:hAnsi="Arial"/>
        </w:rPr>
        <w:t>Neither party B nor any subsidiary company, affiliate or associate company of Party B are subject to registration as a holding company under the 1935 Act.  In the event that Party B, or any subsidiary company, affiliate or associate company of Party B becomes subject to registration as a holding company under the 1935 Act, Party B shall use its best efforts to prevent the occurrence of an Event of Default or Termination Event as a result of such registration requirement.  For purposes of this section, “subsidiary company”, “affiliate” and “associate company” mean the definitions of such terms in Section 2 of the 1935 Act.</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rPr>
        <w:tab/>
        <w:t>(d)</w:t>
        <w:tab/>
      </w:r>
      <w:r>
        <w:rPr>
          <w:rFonts w:cs="Arial" w:ascii="Arial" w:hAnsi="Arial"/>
          <w:b/>
        </w:rPr>
        <w:t>Additional Agreements.</w:t>
      </w:r>
      <w:r>
        <w:rPr>
          <w:rFonts w:cs="Arial" w:ascii="Arial" w:hAnsi="Arial"/>
        </w:rPr>
        <w:t xml:space="preserve">  (i) The introductory clause of Section 4 of this Agreement is hereby amended to read in its entirety as follows:</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b/>
        </w:rPr>
        <w:tab/>
        <w:tab/>
      </w:r>
      <w:r>
        <w:rPr>
          <w:rFonts w:cs="Arial" w:ascii="Arial" w:hAnsi="Arial"/>
        </w:rPr>
        <w:t xml:space="preserve">“4.    </w:t>
      </w:r>
      <w:r>
        <w:rPr>
          <w:rFonts w:cs="Arial" w:ascii="Arial" w:hAnsi="Arial"/>
          <w:b/>
        </w:rPr>
        <w:t xml:space="preserve">Agreements.  </w:t>
      </w:r>
      <w:r>
        <w:rPr>
          <w:rFonts w:cs="Arial" w:ascii="Arial" w:hAnsi="Arial"/>
        </w:rPr>
        <w:t>Each party agrees with the other that, so long as either party has or may have any obligation under this Agreement or under any Credit Support Document to which it is a party:”</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b/>
        <w:tab/>
        <w:t>(ii)</w:t>
        <w:tab/>
        <w:t>Section 4 of this Agreement is hereby amended by adding the following Section (f) thereto:</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2"/>
        </w:numPr>
        <w:tabs>
          <w:tab w:val="clear" w:pos="4320"/>
          <w:tab w:val="clear" w:pos="8640"/>
        </w:tabs>
        <w:jc w:val="both"/>
        <w:rPr>
          <w:rFonts w:ascii="Arial" w:hAnsi="Arial" w:cs="Arial"/>
        </w:rPr>
      </w:pPr>
      <w:r>
        <w:rPr>
          <w:rFonts w:cs="Arial" w:ascii="Arial" w:hAnsi="Arial"/>
          <w:b/>
        </w:rPr>
        <w:t>Notice of Change in Holding Company Status.</w:t>
      </w:r>
      <w:r>
        <w:rPr>
          <w:rFonts w:cs="Arial" w:ascii="Arial" w:hAnsi="Arial"/>
        </w:rPr>
        <w:t xml:space="preserve">  Each party will promptly notify the </w:t>
      </w:r>
    </w:p>
    <w:p>
      <w:pPr>
        <w:pStyle w:val="Header"/>
        <w:tabs>
          <w:tab w:val="clear" w:pos="4320"/>
          <w:tab w:val="clear" w:pos="8640"/>
          <w:tab w:val="left" w:pos="720" w:leader="none"/>
        </w:tabs>
        <w:ind w:start="720" w:end="0"/>
        <w:jc w:val="both"/>
        <w:rPr>
          <w:rFonts w:ascii="Arial" w:hAnsi="Arial" w:cs="Arial"/>
        </w:rPr>
      </w:pPr>
      <w:r>
        <w:rPr>
          <w:rFonts w:cs="Arial" w:ascii="Arial" w:hAnsi="Arial"/>
        </w:rPr>
        <w:t>other party if it or any of its affiliates, as defined in Section 2 of the 1935 Act, becomes subject to registration as a holding company under the 1935 Act.</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3"/>
        </w:numPr>
        <w:tabs>
          <w:tab w:val="clear" w:pos="4320"/>
          <w:tab w:val="clear" w:pos="8640"/>
        </w:tabs>
        <w:jc w:val="both"/>
        <w:rPr>
          <w:rFonts w:ascii="Arial" w:hAnsi="Arial" w:cs="Arial"/>
        </w:rPr>
      </w:pPr>
      <w:r>
        <w:rPr>
          <w:rFonts w:cs="Arial" w:ascii="Arial" w:hAnsi="Arial"/>
          <w:b/>
        </w:rPr>
        <w:t>Reference Market-makers.</w:t>
      </w:r>
      <w:r>
        <w:rPr>
          <w:rFonts w:cs="Arial" w:ascii="Arial" w:hAnsi="Arial"/>
        </w:rPr>
        <w:t xml:space="preserve">  The definition of </w:t>
      </w:r>
      <w:r>
        <w:rPr>
          <w:rFonts w:cs="Arial" w:ascii="Arial" w:hAnsi="Arial"/>
          <w:b/>
        </w:rPr>
        <w:t>“Reference Market-makers”</w:t>
      </w:r>
      <w:r>
        <w:rPr>
          <w:rFonts w:cs="Arial" w:ascii="Arial" w:hAnsi="Arial"/>
        </w:rPr>
        <w:t xml:space="preserve"> in Section </w:t>
      </w:r>
    </w:p>
    <w:p>
      <w:pPr>
        <w:pStyle w:val="Header"/>
        <w:tabs>
          <w:tab w:val="clear" w:pos="4320"/>
          <w:tab w:val="clear" w:pos="8640"/>
        </w:tabs>
        <w:jc w:val="both"/>
        <w:rPr>
          <w:rFonts w:ascii="Arial" w:hAnsi="Arial" w:cs="Arial"/>
        </w:rPr>
      </w:pPr>
      <w:r>
        <w:rPr>
          <w:rFonts w:cs="Arial" w:ascii="Arial" w:hAnsi="Arial"/>
        </w:rPr>
        <w:t>14 is hereby amended by deleting clause (b) thereof.</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3"/>
        </w:numPr>
        <w:tabs>
          <w:tab w:val="clear" w:pos="4320"/>
          <w:tab w:val="clear" w:pos="8640"/>
        </w:tabs>
        <w:jc w:val="both"/>
        <w:rPr>
          <w:rFonts w:ascii="Arial" w:hAnsi="Arial" w:cs="Arial"/>
        </w:rPr>
      </w:pPr>
      <w:r>
        <w:rPr>
          <w:rFonts w:cs="Arial" w:ascii="Arial" w:hAnsi="Arial"/>
          <w:b/>
        </w:rPr>
        <w:t>Definitions.</w:t>
      </w:r>
      <w:r>
        <w:rPr>
          <w:rFonts w:cs="Arial" w:ascii="Arial" w:hAnsi="Arial"/>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3"/>
        </w:numPr>
        <w:tabs>
          <w:tab w:val="clear" w:pos="4320"/>
          <w:tab w:val="clear" w:pos="8640"/>
        </w:tabs>
        <w:jc w:val="both"/>
        <w:rPr>
          <w:rFonts w:ascii="Arial" w:hAnsi="Arial" w:cs="Arial"/>
        </w:rPr>
      </w:pPr>
      <w:r>
        <w:rPr>
          <w:rFonts w:cs="Arial" w:ascii="Arial" w:hAnsi="Arial"/>
          <w:b/>
        </w:rPr>
        <w:t>Procedures for Entering into Transactions.</w:t>
      </w:r>
      <w:r>
        <w:rPr>
          <w:rFonts w:cs="Arial" w:ascii="Arial" w:hAnsi="Arial"/>
        </w:rPr>
        <w:t xml:space="preserve">  The parties hereby amend Section 9(e)(ii) </w:t>
      </w:r>
    </w:p>
    <w:p>
      <w:pPr>
        <w:pStyle w:val="Header"/>
        <w:tabs>
          <w:tab w:val="clear" w:pos="4320"/>
          <w:tab w:val="clear" w:pos="8640"/>
        </w:tabs>
        <w:jc w:val="both"/>
        <w:rPr>
          <w:rFonts w:ascii="Arial" w:hAnsi="Arial" w:cs="Arial"/>
        </w:rPr>
      </w:pPr>
      <w:r>
        <w:rPr>
          <w:rFonts w:cs="Arial" w:ascii="Arial" w:hAnsi="Arial"/>
        </w:rPr>
        <w:t>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three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acknowledgement deemed given as provided herein.”</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3"/>
        </w:numPr>
        <w:tabs>
          <w:tab w:val="clear" w:pos="4320"/>
          <w:tab w:val="clear" w:pos="8640"/>
        </w:tabs>
        <w:jc w:val="both"/>
        <w:rPr>
          <w:rFonts w:ascii="Arial" w:hAnsi="Arial" w:cs="Arial"/>
        </w:rPr>
      </w:pPr>
      <w:r>
        <w:rPr>
          <w:rFonts w:cs="Arial" w:ascii="Arial" w:hAnsi="Arial"/>
          <w:b/>
        </w:rPr>
        <w:t>Recording.</w:t>
      </w:r>
      <w:r>
        <w:rPr>
          <w:rFonts w:cs="Arial" w:ascii="Arial" w:hAnsi="Arial"/>
        </w:rPr>
        <w:t xml:space="preserve">  Each party consents to the recording, at any time and from time to time, by </w:t>
      </w:r>
    </w:p>
    <w:p>
      <w:pPr>
        <w:pStyle w:val="Header"/>
        <w:tabs>
          <w:tab w:val="clear" w:pos="4320"/>
          <w:tab w:val="clear" w:pos="8640"/>
        </w:tabs>
        <w:jc w:val="both"/>
        <w:rPr>
          <w:rFonts w:ascii="Arial" w:hAnsi="Arial" w:cs="Arial"/>
        </w:rPr>
      </w:pPr>
      <w:r>
        <w:rPr>
          <w:rFonts w:cs="Arial" w:ascii="Arial" w:hAnsi="Arial"/>
        </w:rPr>
        <w:t>the other party of any and all communications between officers or employees of the parties, and waives any further notice of such recording.</w:t>
      </w:r>
    </w:p>
    <w:p>
      <w:pPr>
        <w:pStyle w:val="Header"/>
        <w:tabs>
          <w:tab w:val="clear" w:pos="4320"/>
          <w:tab w:val="clear" w:pos="8640"/>
        </w:tabs>
        <w:jc w:val="both"/>
        <w:rPr>
          <w:rFonts w:ascii="Arial" w:hAnsi="Arial" w:cs="Arial"/>
          <w:b/>
        </w:rPr>
      </w:pPr>
      <w:r>
        <w:rPr>
          <w:rFonts w:cs="Arial" w:ascii="Arial" w:hAnsi="Arial"/>
          <w:b/>
        </w:rPr>
      </w:r>
    </w:p>
    <w:p>
      <w:pPr>
        <w:pStyle w:val="Header"/>
        <w:numPr>
          <w:ilvl w:val="0"/>
          <w:numId w:val="3"/>
        </w:numPr>
        <w:tabs>
          <w:tab w:val="clear" w:pos="4320"/>
          <w:tab w:val="clear" w:pos="8640"/>
        </w:tabs>
        <w:jc w:val="both"/>
        <w:rPr>
          <w:rFonts w:ascii="Arial" w:hAnsi="Arial" w:cs="Arial"/>
        </w:rPr>
      </w:pPr>
      <w:r>
        <w:rPr>
          <w:rFonts w:cs="Arial" w:ascii="Arial" w:hAnsi="Arial"/>
          <w:b/>
        </w:rPr>
        <w:t>Setoff.</w:t>
      </w:r>
      <w:r>
        <w:rPr>
          <w:rFonts w:cs="Arial" w:ascii="Arial" w:hAnsi="Arial"/>
        </w:rPr>
        <w:t xml:space="preserve">  (A)  Upon the designation or deemed designation of an Early Termination Date </w:t>
      </w:r>
    </w:p>
    <w:p>
      <w:pPr>
        <w:pStyle w:val="Header"/>
        <w:tabs>
          <w:tab w:val="clear" w:pos="4320"/>
          <w:tab w:val="clear" w:pos="8640"/>
        </w:tabs>
        <w:jc w:val="both"/>
        <w:rPr>
          <w:rFonts w:ascii="Arial" w:hAnsi="Arial" w:cs="Arial"/>
        </w:rPr>
      </w:pPr>
      <w:r>
        <w:rPr>
          <w:rFonts w:cs="Arial" w:ascii="Arial" w:hAnsi="Arial"/>
        </w:rPr>
        <w:t>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jc w:val="both"/>
        <w:rPr>
          <w:rFonts w:ascii="Arial" w:hAnsi="Arial" w:cs="Arial"/>
        </w:rPr>
      </w:pPr>
      <w:r>
        <w:rPr>
          <w:rFonts w:cs="Arial" w:ascii="Arial" w:hAnsi="Arial"/>
        </w:rPr>
        <w:tab/>
        <w:t>(B)</w:t>
        <w:tab/>
        <w:t>Notwithstanding any provision to the contrary contained in this Agreement, the Non-defaulting party or non-Affected Party, as the case may be, shall not be required to pay to the Defaulting Party of Affected Party any amount under Section 6(e) until the non-Defaulting Party or non-Affected Party receives confirmation satisfactory to it in its reasonable discretion (which may include an unqualified opinion of its counsel) that all other obligations of any kind whatsoever (whether pursuant to Specified Indebtedness as defined herein otherwise) of the Defaulting Party or Affected party to make any payments to the Non-defaulting Party on Non-Affected Party or any of its Affiliates under this Agreement or otherwise which are due and payable as of the Early Termination Date hereof have been fully and finally performed.</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firstLine="720" w:end="0"/>
        <w:jc w:val="both"/>
        <w:rPr>
          <w:rFonts w:ascii="Arial" w:hAnsi="Arial" w:cs="Arial"/>
          <w:b/>
        </w:rPr>
      </w:pPr>
      <w:r>
        <w:rPr>
          <w:rFonts w:cs="Arial" w:ascii="Arial" w:hAnsi="Arial"/>
          <w:b/>
        </w:rPr>
        <w:t>(j)</w:t>
        <w:tab/>
        <w:t xml:space="preserve">LIMITATION OF LIABILITY.  NO PARTY SHALL BE REQUIRED TO PAY OR BE </w:t>
      </w:r>
    </w:p>
    <w:p>
      <w:pPr>
        <w:pStyle w:val="Header"/>
        <w:tabs>
          <w:tab w:val="clear" w:pos="4320"/>
          <w:tab w:val="clear" w:pos="8640"/>
        </w:tabs>
        <w:jc w:val="both"/>
        <w:rPr>
          <w:rFonts w:ascii="Arial" w:hAnsi="Arial" w:cs="Arial"/>
        </w:rPr>
      </w:pPr>
      <w:r>
        <w:rPr>
          <w:rFonts w:cs="Arial" w:ascii="Arial" w:hAnsi="Arial"/>
          <w:b/>
        </w:rPr>
        <w:t>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REASONABLE APPROXIMATION OF THE AMOUNT OF SUCH DAMAGES AND NOT A PENALTY.</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jc w:val="both"/>
        <w:rPr/>
      </w:pPr>
      <w:r>
        <w:rPr>
          <w:rFonts w:cs="Arial" w:ascii="Arial" w:hAnsi="Arial"/>
        </w:rPr>
        <w:tab/>
        <w:t>(k)</w:t>
        <w:tab/>
      </w:r>
      <w:r>
        <w:rPr>
          <w:rFonts w:cs="Arial" w:ascii="Arial" w:hAnsi="Arial"/>
          <w:b/>
        </w:rPr>
        <w:t xml:space="preserve">Confidentiality.  </w:t>
      </w:r>
      <w:r>
        <w:rPr>
          <w:rFonts w:cs="Arial" w:ascii="Arial" w:hAnsi="Arial"/>
        </w:rPr>
        <w:t>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party’s Affiliates, auditors, attorneys, or advisors which are required to keep the information that is disclosed in confidence.</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jc w:val="both"/>
        <w:rPr/>
      </w:pPr>
      <w:r>
        <w:rPr>
          <w:rFonts w:cs="Arial" w:ascii="Arial" w:hAnsi="Arial"/>
        </w:rPr>
        <w:tab/>
        <w:t>(l)</w:t>
        <w:tab/>
      </w:r>
      <w:r>
        <w:rPr>
          <w:rFonts w:cs="Arial" w:ascii="Arial" w:hAnsi="Arial"/>
          <w:b/>
        </w:rPr>
        <w:t>Transfer.</w:t>
      </w:r>
      <w:r>
        <w:rPr>
          <w:rFonts w:cs="Arial" w:ascii="Arial" w:hAnsi="Arial"/>
        </w:rPr>
        <w:t xml:space="preserve">  Notwithstanding Section 7, either party may transfer its rights and obligations under this Agreement to any party if:</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hanging="720" w:start="2160" w:end="0"/>
        <w:jc w:val="both"/>
        <w:rPr>
          <w:rFonts w:ascii="Arial" w:hAnsi="Arial" w:cs="Arial"/>
        </w:rPr>
      </w:pPr>
      <w:r>
        <w:rPr>
          <w:rFonts w:cs="Arial" w:ascii="Arial" w:hAnsi="Arial"/>
        </w:rPr>
        <w:t>(i)</w:t>
        <w:tab/>
        <w:t>in the case of Party A, its Credit Support Provider, and in the case of Party B, the transferring party (in either case, “X”) executes and delivers prior to the transfer a guaranty of the obligations to be transferred in form and substance satisfactory in all respects to the other party, in which case X shall be a Credit Support Provider and the guaranty shall be a Credit Support Document;</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hanging="720" w:start="2160" w:end="0"/>
        <w:jc w:val="both"/>
        <w:rPr>
          <w:rFonts w:ascii="Arial" w:hAnsi="Arial" w:cs="Arial"/>
        </w:rPr>
      </w:pPr>
      <w:r>
        <w:rPr>
          <w:rFonts w:cs="Arial" w:ascii="Arial" w:hAnsi="Arial"/>
        </w:rPr>
        <w:t>(ii)</w:t>
        <w:tab/>
        <w:t>the other party’s ability to take advantage of the settlement netting and close-out netting provisions, if any, of this Agreement under the bankruptcy or insolvency laws of all relevant jurisdictions would not be impaired as the result of the transfer;</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1"/>
        </w:numPr>
        <w:tabs>
          <w:tab w:val="clear" w:pos="4320"/>
          <w:tab w:val="clear" w:pos="8640"/>
        </w:tabs>
        <w:jc w:val="both"/>
        <w:rPr>
          <w:rFonts w:ascii="Arial" w:hAnsi="Arial" w:cs="Arial"/>
        </w:rPr>
      </w:pPr>
      <w:r>
        <w:rPr>
          <w:rFonts w:cs="Arial" w:ascii="Arial" w:hAnsi="Arial"/>
        </w:rPr>
        <w:t>the non-transferring party would not incur material increased costs with respect to the Transactions being transferred due to any law, rule, regulation or guideline (as modified by the practice of any regulatory authority to which it is subject);</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1"/>
        </w:numPr>
        <w:tabs>
          <w:tab w:val="clear" w:pos="4320"/>
          <w:tab w:val="clear" w:pos="8640"/>
        </w:tabs>
        <w:jc w:val="both"/>
        <w:rPr>
          <w:rFonts w:ascii="Arial" w:hAnsi="Arial" w:cs="Arial"/>
        </w:rPr>
      </w:pPr>
      <w:r>
        <w:rPr>
          <w:rFonts w:cs="Arial" w:ascii="Arial" w:hAnsi="Arial"/>
        </w:rPr>
        <w:t>no Event of Default, Potential Event of Default or Termination Event would exist immediately before or after such transfer, with respect to the transferring party or the proposed transferee;</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1"/>
        </w:numPr>
        <w:tabs>
          <w:tab w:val="clear" w:pos="4320"/>
          <w:tab w:val="clear" w:pos="8640"/>
        </w:tabs>
        <w:jc w:val="both"/>
        <w:rPr>
          <w:rFonts w:ascii="Arial" w:hAnsi="Arial" w:cs="Arial"/>
        </w:rPr>
      </w:pPr>
      <w:r>
        <w:rPr>
          <w:rFonts w:cs="Arial" w:ascii="Arial" w:hAnsi="Arial"/>
        </w:rPr>
        <w:t xml:space="preserve">the transferor and transferee execute a novation or assignment agreement in form and substance satisfactory to the non-transferring party in which the transferee agrees to be bound by the provisions of this Agreement as it relates to all Transactions hereunder; and </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1"/>
        </w:numPr>
        <w:tabs>
          <w:tab w:val="clear" w:pos="4320"/>
          <w:tab w:val="clear" w:pos="8640"/>
        </w:tabs>
        <w:jc w:val="both"/>
        <w:rPr>
          <w:rFonts w:ascii="Arial" w:hAnsi="Arial" w:cs="Arial"/>
        </w:rPr>
      </w:pPr>
      <w:r>
        <w:rPr>
          <w:rFonts w:cs="Arial" w:ascii="Arial" w:hAnsi="Arial"/>
        </w:rPr>
        <w:t>the proposed transferee and its Credit Support Provider, if any, satisfy the criteria  that the non-transferring party applies in deciding whether to offer or make an extension of credit or to enter into transactions similar to the Transactions subject to the proposed transfer.</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9"/>
        </w:numPr>
        <w:tabs>
          <w:tab w:val="clear" w:pos="4320"/>
          <w:tab w:val="clear" w:pos="8640"/>
        </w:tabs>
        <w:jc w:val="both"/>
        <w:rPr>
          <w:rFonts w:ascii="Arial" w:hAnsi="Arial" w:cs="Arial"/>
        </w:rPr>
      </w:pPr>
      <w:r>
        <w:rPr>
          <w:rFonts w:cs="Arial" w:ascii="Arial" w:hAnsi="Arial"/>
          <w:b/>
        </w:rPr>
        <w:t>Applicable Rate.</w:t>
      </w:r>
      <w:r>
        <w:rPr>
          <w:rFonts w:cs="Arial" w:ascii="Arial" w:hAnsi="Arial"/>
        </w:rPr>
        <w:t xml:space="preserve">  The definition of </w:t>
      </w:r>
      <w:r>
        <w:rPr>
          <w:rFonts w:cs="Arial" w:ascii="Arial" w:hAnsi="Arial"/>
          <w:b/>
        </w:rPr>
        <w:t>“Applicable Rate”</w:t>
      </w:r>
      <w:r>
        <w:rPr>
          <w:rFonts w:cs="Arial" w:ascii="Arial" w:hAnsi="Arial"/>
        </w:rPr>
        <w:t xml:space="preserve"> set forth in Section 14 is hereby</w:t>
      </w:r>
    </w:p>
    <w:p>
      <w:pPr>
        <w:pStyle w:val="Header"/>
        <w:tabs>
          <w:tab w:val="clear" w:pos="4320"/>
          <w:tab w:val="clear" w:pos="8640"/>
        </w:tabs>
        <w:jc w:val="both"/>
        <w:rPr/>
      </w:pPr>
      <w:r>
        <w:rPr>
          <w:rFonts w:cs="Arial" w:ascii="Arial" w:hAnsi="Arial"/>
        </w:rPr>
        <w:t>amended by adding to the end of Section (b) of the definition after the word “Rate” the following provision: “</w:t>
      </w:r>
      <w:r>
        <w:rPr>
          <w:rFonts w:cs="Arial" w:ascii="Arial" w:hAnsi="Arial"/>
          <w:u w:val="single"/>
        </w:rPr>
        <w:t>provided</w:t>
      </w:r>
      <w:r>
        <w:rPr>
          <w:rFonts w:cs="Arial" w:ascii="Arial" w:hAnsi="Arial"/>
        </w:rPr>
        <w:t xml:space="preserve">, </w:t>
      </w:r>
      <w:r>
        <w:rPr>
          <w:rFonts w:cs="Arial" w:ascii="Arial" w:hAnsi="Arial"/>
          <w:u w:val="single"/>
        </w:rPr>
        <w:t>however</w:t>
      </w:r>
      <w:r>
        <w:rPr>
          <w:rFonts w:cs="Arial" w:ascii="Arial" w:hAnsi="Arial"/>
        </w:rPr>
        <w:t>, that if the payee is a Defaulting Party for purposes of Section 6(e), then the rate shall be the Non-default Rate.”</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rPr>
        <w:tab/>
        <w:t>(n)</w:t>
        <w:tab/>
      </w:r>
      <w:r>
        <w:rPr>
          <w:rFonts w:cs="Arial" w:ascii="Arial" w:hAnsi="Arial"/>
          <w:b/>
        </w:rPr>
        <w:t>Limitation of Rate.</w:t>
      </w:r>
      <w:r>
        <w:rPr>
          <w:rFonts w:cs="Arial" w:ascii="Arial" w:hAnsi="Arial"/>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rPr>
        <w:tab/>
        <w:t>(o)</w:t>
        <w:tab/>
      </w:r>
      <w:r>
        <w:rPr>
          <w:rFonts w:cs="Arial" w:ascii="Arial" w:hAnsi="Arial"/>
          <w:b/>
        </w:rPr>
        <w:t>Definitions.</w:t>
      </w:r>
      <w:r>
        <w:rPr>
          <w:rFonts w:cs="Arial" w:ascii="Arial" w:hAnsi="Arial"/>
        </w:rPr>
        <w:t xml:space="preserve">  Section 14 is hereby amended by inserting the following definition in alphabetical order:</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pPr>
      <w:r>
        <w:rPr>
          <w:rFonts w:cs="Arial" w:ascii="Arial" w:hAnsi="Arial"/>
        </w:rPr>
        <w:tab/>
      </w:r>
      <w:r>
        <w:rPr>
          <w:rFonts w:cs="Arial" w:ascii="Arial" w:hAnsi="Arial"/>
          <w:b/>
        </w:rPr>
        <w:t>“1935 Act”</w:t>
      </w:r>
      <w:r>
        <w:rPr>
          <w:rFonts w:cs="Arial" w:ascii="Arial" w:hAnsi="Arial"/>
        </w:rPr>
        <w:t xml:space="preserve"> means the Public Utility Holding Company Act of 1935, as amended.</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0"/>
        </w:numPr>
        <w:tabs>
          <w:tab w:val="clear" w:pos="4320"/>
          <w:tab w:val="clear" w:pos="8640"/>
        </w:tabs>
        <w:jc w:val="both"/>
        <w:outlineLvl w:val="0"/>
        <w:rPr>
          <w:rFonts w:ascii="Arial" w:hAnsi="Arial" w:cs="Arial"/>
          <w:b/>
        </w:rPr>
      </w:pPr>
      <w:r>
        <w:rPr>
          <w:rFonts w:cs="Arial" w:ascii="Arial" w:hAnsi="Arial"/>
          <w:b/>
        </w:rPr>
        <w:t>Part 6.  Additional Provisions for Commodity Derivatives Transactions.</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jc w:val="both"/>
        <w:rPr>
          <w:rFonts w:ascii="Arial" w:hAnsi="Arial" w:cs="Arial"/>
        </w:rPr>
      </w:pPr>
      <w:r>
        <w:rPr>
          <w:rFonts w:cs="Arial" w:ascii="Arial" w:hAnsi="Arial"/>
        </w:rPr>
        <w:tab/>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firstLine="720" w:end="0"/>
        <w:jc w:val="both"/>
        <w:rPr>
          <w:rFonts w:ascii="Arial" w:hAnsi="Arial" w:cs="Arial"/>
        </w:rPr>
      </w:pPr>
      <w:r>
        <w:rPr>
          <w:rFonts w:cs="Arial" w:ascii="Arial" w:hAnsi="Arial"/>
        </w:rPr>
        <w:t>(b)</w:t>
        <w:tab/>
        <w:t>In lieu of Section 7.4(d) of the Commodity Definitions, the “Market Disruption Events” specified in Section7.4(c), (c)(ii), (c)(iii), (c)(iv), (c)(v) and (c)(viii) of the Commodity Definitions shall apply, except as otherwise specified in the relevant Confirmation.</w:t>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10"/>
        </w:numPr>
        <w:tabs>
          <w:tab w:val="clear" w:pos="4320"/>
          <w:tab w:val="clear" w:pos="8640"/>
        </w:tabs>
        <w:jc w:val="both"/>
        <w:rPr>
          <w:rFonts w:ascii="Arial" w:hAnsi="Arial" w:cs="Arial"/>
        </w:rPr>
      </w:pPr>
      <w:r>
        <w:rPr>
          <w:rFonts w:cs="Arial" w:ascii="Arial" w:hAnsi="Arial"/>
        </w:rPr>
        <w:t xml:space="preserve">Section 7.4(c) (viii) of the Commodity Definitions is hereby amended by the addition of </w:t>
      </w:r>
    </w:p>
    <w:p>
      <w:pPr>
        <w:pStyle w:val="Header"/>
        <w:tabs>
          <w:tab w:val="clear" w:pos="4320"/>
          <w:tab w:val="clear" w:pos="8640"/>
        </w:tabs>
        <w:jc w:val="both"/>
        <w:rPr>
          <w:rFonts w:ascii="Arial" w:hAnsi="Arial" w:cs="Arial"/>
        </w:rPr>
      </w:pPr>
      <w:r>
        <w:rPr>
          <w:rFonts w:cs="Arial" w:ascii="Arial" w:hAnsi="Arial"/>
        </w:rPr>
        <w:t>the following at the end thereof:</w:t>
      </w:r>
    </w:p>
    <w:p>
      <w:pPr>
        <w:pStyle w:val="Header"/>
        <w:tabs>
          <w:tab w:val="clear" w:pos="4320"/>
          <w:tab w:val="clear" w:pos="8640"/>
        </w:tabs>
        <w:ind w:start="720" w:end="0"/>
        <w:jc w:val="both"/>
        <w:rPr>
          <w:rFonts w:ascii="Arial" w:hAnsi="Arial" w:cs="Arial"/>
        </w:rPr>
      </w:pPr>
      <w:r>
        <w:rPr>
          <w:rFonts w:cs="Arial" w:ascii="Arial" w:hAnsi="Arial"/>
        </w:rPr>
      </w:r>
    </w:p>
    <w:p>
      <w:pPr>
        <w:pStyle w:val="Header"/>
        <w:tabs>
          <w:tab w:val="clear" w:pos="4320"/>
          <w:tab w:val="clear" w:pos="8640"/>
        </w:tabs>
        <w:ind w:start="1440" w:end="0"/>
        <w:jc w:val="both"/>
        <w:rPr>
          <w:rFonts w:ascii="Arial" w:hAnsi="Arial" w:cs="Arial"/>
        </w:rPr>
      </w:pPr>
      <w:r>
        <w:rPr>
          <w:rFonts w:cs="Arial" w:ascii="Arial" w:hAnsi="Arial"/>
        </w:rPr>
        <w:t>“</w:t>
      </w:r>
      <w:r>
        <w:rPr>
          <w:rFonts w:cs="Arial" w:ascii="Arial" w:hAnsi="Arial"/>
        </w:rPr>
        <w:t xml:space="preserve">For these purposes, a limitation of trading on any Commodity Business Day shall be </w:t>
      </w:r>
    </w:p>
    <w:p>
      <w:pPr>
        <w:pStyle w:val="Header"/>
        <w:tabs>
          <w:tab w:val="clear" w:pos="4320"/>
          <w:tab w:val="clear" w:pos="8640"/>
        </w:tabs>
        <w:jc w:val="both"/>
        <w:rPr>
          <w:rFonts w:ascii="Arial" w:hAnsi="Arial" w:cs="Arial"/>
        </w:rPr>
      </w:pPr>
      <w:r>
        <w:rPr>
          <w:rFonts w:cs="Arial" w:ascii="Arial" w:hAnsi="Arial"/>
        </w:rPr>
        <w:t>deemed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b/>
        <w:t>(d)</w:t>
        <w:tab/>
        <w:t>Section 7.5(d) of the Commodity Definitions is hereby deleted.</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b/>
        <w:t>(e)</w:t>
        <w:tab/>
        <w:t>“Additional Market Disruption Events” shall apply only if so specified in the relevant Confirmation.</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b/>
        <w:t>(f)</w:t>
        <w:tab/>
        <w:t>The following “Disruption Fallbacks” specified in Section 7.5(c) of the Commodity Definitions shall apply, in the following order, except as otherwise specified in the relevant Confirmation:</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ind w:start="2160" w:end="0"/>
        <w:jc w:val="both"/>
        <w:rPr>
          <w:rFonts w:ascii="Arial" w:hAnsi="Arial" w:cs="Arial"/>
        </w:rPr>
      </w:pPr>
      <w:r>
        <w:rPr>
          <w:rFonts w:cs="Arial" w:ascii="Arial" w:hAnsi="Arial"/>
        </w:rPr>
        <w:t>(I)</w:t>
        <w:tab/>
        <w:t>“Postponement”, with three (3) Commodity Business Days as the Maximum Days of Disruption;</w:t>
      </w:r>
    </w:p>
    <w:p>
      <w:pPr>
        <w:pStyle w:val="Header"/>
        <w:tabs>
          <w:tab w:val="clear" w:pos="4320"/>
          <w:tab w:val="clear" w:pos="8640"/>
        </w:tabs>
        <w:ind w:start="2160" w:end="0"/>
        <w:jc w:val="both"/>
        <w:rPr>
          <w:rFonts w:ascii="Arial" w:hAnsi="Arial" w:cs="Arial"/>
        </w:rPr>
      </w:pPr>
      <w:r>
        <w:rPr>
          <w:rFonts w:cs="Arial" w:ascii="Arial" w:hAnsi="Arial"/>
        </w:rPr>
      </w:r>
    </w:p>
    <w:p>
      <w:pPr>
        <w:pStyle w:val="Header"/>
        <w:tabs>
          <w:tab w:val="clear" w:pos="4320"/>
          <w:tab w:val="clear" w:pos="8640"/>
        </w:tabs>
        <w:ind w:start="2160" w:end="0"/>
        <w:jc w:val="both"/>
        <w:rPr>
          <w:rFonts w:ascii="Arial" w:hAnsi="Arial" w:cs="Arial"/>
        </w:rPr>
      </w:pPr>
      <w:r>
        <w:rPr>
          <w:rFonts w:cs="Arial" w:ascii="Arial" w:hAnsi="Arial"/>
        </w:rPr>
        <w:t>(ii)</w:t>
        <w:tab/>
        <w:t>“Fallback Reference Price” (if the relevant parties have specified an alternate Commodity Reference Price in the Confirmation);</w:t>
      </w:r>
    </w:p>
    <w:p>
      <w:pPr>
        <w:pStyle w:val="Header"/>
        <w:tabs>
          <w:tab w:val="clear" w:pos="4320"/>
          <w:tab w:val="clear" w:pos="8640"/>
        </w:tabs>
        <w:ind w:start="2160" w:end="0"/>
        <w:jc w:val="both"/>
        <w:rPr>
          <w:rFonts w:ascii="Arial" w:hAnsi="Arial" w:cs="Arial"/>
        </w:rPr>
      </w:pPr>
      <w:r>
        <w:rPr>
          <w:rFonts w:cs="Arial" w:ascii="Arial" w:hAnsi="Arial"/>
        </w:rPr>
      </w:r>
    </w:p>
    <w:p>
      <w:pPr>
        <w:pStyle w:val="Header"/>
        <w:numPr>
          <w:ilvl w:val="0"/>
          <w:numId w:val="7"/>
        </w:numPr>
        <w:tabs>
          <w:tab w:val="clear" w:pos="4320"/>
          <w:tab w:val="clear" w:pos="8640"/>
          <w:tab w:val="left" w:pos="2880" w:leader="none"/>
        </w:tabs>
        <w:ind w:hanging="720" w:start="2880" w:end="0"/>
        <w:jc w:val="both"/>
        <w:rPr>
          <w:rFonts w:ascii="Arial" w:hAnsi="Arial" w:cs="Arial"/>
        </w:rPr>
      </w:pPr>
      <w:r>
        <w:rPr>
          <w:rFonts w:cs="Arial" w:ascii="Arial" w:hAnsi="Arial"/>
        </w:rPr>
        <w:t>“</w:t>
      </w:r>
      <w:r>
        <w:rPr>
          <w:rFonts w:cs="Arial" w:ascii="Arial" w:hAnsi="Arial"/>
        </w:rPr>
        <w:t xml:space="preserve">Negotiated Fallback” (provided that the reference in Section 7.5(c) (ii) to </w:t>
      </w:r>
    </w:p>
    <w:p>
      <w:pPr>
        <w:pStyle w:val="Header"/>
        <w:tabs>
          <w:tab w:val="clear" w:pos="4320"/>
          <w:tab w:val="clear" w:pos="8640"/>
        </w:tabs>
        <w:ind w:start="2160" w:end="0"/>
        <w:jc w:val="both"/>
        <w:rPr>
          <w:rFonts w:ascii="Arial" w:hAnsi="Arial" w:cs="Arial"/>
        </w:rPr>
      </w:pPr>
      <w:r>
        <w:rPr>
          <w:rFonts w:cs="Arial" w:ascii="Arial" w:hAnsi="Arial"/>
        </w:rPr>
        <w:t>“</w:t>
      </w:r>
      <w:r>
        <w:rPr>
          <w:rFonts w:cs="Arial" w:ascii="Arial" w:hAnsi="Arial"/>
        </w:rPr>
        <w:t>fifth Business Day” shall be amended to be “twelfth Business Day”); and</w:t>
      </w:r>
    </w:p>
    <w:p>
      <w:pPr>
        <w:pStyle w:val="Header"/>
        <w:tabs>
          <w:tab w:val="clear" w:pos="4320"/>
          <w:tab w:val="clear" w:pos="8640"/>
        </w:tabs>
        <w:ind w:start="2160" w:end="0"/>
        <w:jc w:val="both"/>
        <w:rPr>
          <w:rFonts w:ascii="Arial" w:hAnsi="Arial" w:cs="Arial"/>
        </w:rPr>
      </w:pPr>
      <w:r>
        <w:rPr>
          <w:rFonts w:cs="Arial" w:ascii="Arial" w:hAnsi="Arial"/>
        </w:rPr>
      </w:r>
    </w:p>
    <w:p>
      <w:pPr>
        <w:pStyle w:val="Header"/>
        <w:numPr>
          <w:ilvl w:val="0"/>
          <w:numId w:val="7"/>
        </w:numPr>
        <w:tabs>
          <w:tab w:val="clear" w:pos="4320"/>
          <w:tab w:val="clear" w:pos="8640"/>
          <w:tab w:val="left" w:pos="2880" w:leader="none"/>
        </w:tabs>
        <w:ind w:hanging="720" w:start="2880" w:end="0"/>
        <w:jc w:val="both"/>
        <w:rPr>
          <w:rFonts w:ascii="Arial" w:hAnsi="Arial" w:cs="Arial"/>
        </w:rPr>
      </w:pPr>
      <w:r>
        <w:rPr>
          <w:rFonts w:cs="Arial" w:ascii="Arial" w:hAnsi="Arial"/>
        </w:rPr>
        <w:t xml:space="preserve">The Relevant Price will be determined and calculated as set forth in the </w:t>
      </w:r>
    </w:p>
    <w:p>
      <w:pPr>
        <w:pStyle w:val="Header"/>
        <w:tabs>
          <w:tab w:val="clear" w:pos="4320"/>
          <w:tab w:val="clear" w:pos="8640"/>
        </w:tabs>
        <w:ind w:start="2160" w:end="0"/>
        <w:jc w:val="both"/>
        <w:rPr>
          <w:rFonts w:ascii="Arial" w:hAnsi="Arial" w:cs="Arial"/>
        </w:rPr>
      </w:pPr>
      <w:r>
        <w:rPr>
          <w:rFonts w:cs="Arial" w:ascii="Arial" w:hAnsi="Arial"/>
        </w:rPr>
        <w:t>Definition of “Commodity-Reference Dealers”, however, notwithstanding any reference to the number of Specified Prices in such definition, Party A shall obtain in good faith quotations from two (2) leading dealers in the relevant market and the price for that Pricing Date will be arithmetic mean of the Specified Prices.</w:t>
      </w:r>
    </w:p>
    <w:p>
      <w:pPr>
        <w:pStyle w:val="Header"/>
        <w:tabs>
          <w:tab w:val="clear" w:pos="4320"/>
          <w:tab w:val="clear" w:pos="8640"/>
        </w:tabs>
        <w:ind w:start="2160" w:end="0"/>
        <w:jc w:val="both"/>
        <w:rPr>
          <w:rFonts w:ascii="Arial" w:hAnsi="Arial" w:cs="Arial"/>
        </w:rPr>
      </w:pPr>
      <w:r>
        <w:rPr>
          <w:rFonts w:cs="Arial" w:ascii="Arial" w:hAnsi="Arial"/>
        </w:rPr>
      </w:r>
      <w:r>
        <w:br w:type="page"/>
      </w:r>
    </w:p>
    <w:p>
      <w:pPr>
        <w:pStyle w:val="Header"/>
        <w:tabs>
          <w:tab w:val="clear" w:pos="4320"/>
          <w:tab w:val="clear" w:pos="8640"/>
        </w:tabs>
        <w:jc w:val="both"/>
        <w:rPr>
          <w:rFonts w:ascii="Arial" w:hAnsi="Arial" w:cs="Arial"/>
        </w:rPr>
      </w:pPr>
      <w:r>
        <w:rPr>
          <w:rFonts w:cs="Arial" w:ascii="Arial" w:hAnsi="Arial"/>
        </w:rPr>
      </w:r>
    </w:p>
    <w:p>
      <w:pPr>
        <w:pStyle w:val="Header"/>
        <w:numPr>
          <w:ilvl w:val="0"/>
          <w:numId w:val="0"/>
        </w:numPr>
        <w:tabs>
          <w:tab w:val="clear" w:pos="4320"/>
          <w:tab w:val="clear" w:pos="8640"/>
        </w:tabs>
        <w:jc w:val="both"/>
        <w:outlineLvl w:val="0"/>
        <w:rPr>
          <w:rFonts w:ascii="Arial" w:hAnsi="Arial" w:cs="Arial"/>
        </w:rPr>
      </w:pPr>
      <w:r>
        <w:rPr>
          <w:rFonts w:cs="Arial" w:ascii="Arial" w:hAnsi="Arial"/>
        </w:rPr>
        <w:t>EXECUTED effective as of the date first written above.</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b/>
        </w:rPr>
      </w:pPr>
      <w:r>
        <w:rPr>
          <w:rFonts w:cs="Arial" w:ascii="Arial" w:hAnsi="Arial"/>
          <w:b/>
        </w:rPr>
        <w:t>ENOVATE L.L.C.</w:t>
        <w:tab/>
        <w:tab/>
        <w:tab/>
        <w:tab/>
        <w:tab/>
        <w:t>PEOPLES ENERGY CORPORATION</w:t>
      </w:r>
    </w:p>
    <w:p>
      <w:pPr>
        <w:pStyle w:val="Header"/>
        <w:tabs>
          <w:tab w:val="clear" w:pos="4320"/>
          <w:tab w:val="clear" w:pos="8640"/>
        </w:tabs>
        <w:jc w:val="both"/>
        <w:rPr>
          <w:rFonts w:ascii="Arial" w:hAnsi="Arial" w:cs="Arial"/>
          <w:b/>
        </w:rPr>
      </w:pPr>
      <w:r>
        <w:rPr>
          <w:rFonts w:cs="Arial" w:ascii="Arial" w:hAnsi="Arial"/>
          <w:b/>
        </w:rPr>
      </w:r>
    </w:p>
    <w:p>
      <w:pPr>
        <w:pStyle w:val="Header"/>
        <w:tabs>
          <w:tab w:val="clear" w:pos="4320"/>
          <w:tab w:val="clear" w:pos="8640"/>
        </w:tabs>
        <w:jc w:val="both"/>
        <w:rPr>
          <w:rFonts w:ascii="Arial" w:hAnsi="Arial" w:cs="Arial"/>
        </w:rPr>
      </w:pPr>
      <w:r>
        <w:rPr>
          <w:rFonts w:cs="Arial" w:ascii="Arial" w:hAnsi="Arial"/>
        </w:rPr>
        <w:t>By:</w:t>
        <w:tab/>
        <w:tab/>
        <w:tab/>
        <w:tab/>
        <w:tab/>
        <w:tab/>
        <w:tab/>
        <w:t>By:</w:t>
      </w:r>
    </w:p>
    <w:p>
      <w:pPr>
        <w:pStyle w:val="Header"/>
        <w:tabs>
          <w:tab w:val="clear" w:pos="4320"/>
          <w:tab w:val="clear" w:pos="8640"/>
        </w:tabs>
        <w:jc w:val="both"/>
        <w:rPr>
          <w:rFonts w:ascii="Arial" w:hAnsi="Arial" w:cs="Arial"/>
        </w:rPr>
      </w:pPr>
      <w:r>
        <w:rPr>
          <w:rFonts w:cs="Arial" w:ascii="Arial" w:hAnsi="Arial"/>
        </w:rPr>
        <w:t>Name:</w:t>
        <w:tab/>
        <w:tab/>
        <w:tab/>
        <w:tab/>
        <w:tab/>
        <w:tab/>
        <w:tab/>
        <w:t>Name:</w:t>
      </w:r>
    </w:p>
    <w:p>
      <w:pPr>
        <w:pStyle w:val="Header"/>
        <w:tabs>
          <w:tab w:val="clear" w:pos="4320"/>
          <w:tab w:val="clear" w:pos="8640"/>
        </w:tabs>
        <w:jc w:val="both"/>
        <w:rPr>
          <w:rFonts w:ascii="Arial" w:hAnsi="Arial" w:cs="Arial"/>
        </w:rPr>
      </w:pPr>
      <w:r>
        <w:rPr>
          <w:rFonts w:cs="Arial" w:ascii="Arial" w:hAnsi="Arial"/>
        </w:rPr>
        <w:t>Title:</w:t>
        <w:tab/>
        <w:tab/>
        <w:tab/>
        <w:tab/>
        <w:tab/>
        <w:tab/>
        <w:tab/>
        <w:t>Title:</w:t>
      </w:r>
    </w:p>
    <w:p>
      <w:pPr>
        <w:pStyle w:val="Header"/>
        <w:tabs>
          <w:tab w:val="clear" w:pos="4320"/>
          <w:tab w:val="clear" w:pos="8640"/>
        </w:tabs>
        <w:jc w:val="both"/>
        <w:rPr>
          <w:rFonts w:ascii="Arial" w:hAnsi="Arial" w:cs="Arial"/>
        </w:rPr>
      </w:pPr>
      <w:r>
        <w:rPr>
          <w:rFonts w:cs="Arial" w:ascii="Arial" w:hAnsi="Arial"/>
        </w:rPr>
        <w:t>Date:</w:t>
        <w:tab/>
        <w:tab/>
        <w:tab/>
        <w:tab/>
        <w:tab/>
        <w:tab/>
        <w:tab/>
        <w:t>Date:</w:t>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r>
    </w:p>
    <w:p>
      <w:pPr>
        <w:pStyle w:val="Header"/>
        <w:tabs>
          <w:tab w:val="clear" w:pos="4320"/>
          <w:tab w:val="clear" w:pos="8640"/>
        </w:tabs>
        <w:jc w:val="both"/>
        <w:rPr>
          <w:rFonts w:ascii="Arial" w:hAnsi="Arial" w:cs="Arial"/>
        </w:rPr>
      </w:pPr>
      <w:r>
        <w:rPr>
          <w:rFonts w:cs="Arial" w:ascii="Arial" w:hAnsi="Arial"/>
        </w:rPr>
        <w:t>ANNEX A</w:t>
        <w:tab/>
        <w:tab/>
        <w:tab/>
        <w:t>ISDA CREDIT SUPPORT ANNEX, including Paragraph 13 thereto</w:t>
      </w:r>
    </w:p>
    <w:p>
      <w:pPr>
        <w:pStyle w:val="Header"/>
        <w:tabs>
          <w:tab w:val="clear" w:pos="4320"/>
          <w:tab w:val="clear" w:pos="8640"/>
        </w:tabs>
        <w:jc w:val="both"/>
        <w:rPr>
          <w:rFonts w:ascii="Arial" w:hAnsi="Arial" w:cs="Arial"/>
        </w:rPr>
      </w:pPr>
      <w:r>
        <w:rPr>
          <w:rFonts w:cs="Arial" w:ascii="Arial" w:hAnsi="Arial"/>
        </w:rPr>
        <w:t>SCHEDULE 1</w:t>
        <w:tab/>
        <w:tab/>
        <w:tab/>
        <w:t>IRREVOCABLE TRANSFERABLE STANDBY LETTER OF CREDIT</w:t>
      </w:r>
    </w:p>
    <w:p>
      <w:pPr>
        <w:pStyle w:val="Header"/>
        <w:tabs>
          <w:tab w:val="clear" w:pos="4320"/>
          <w:tab w:val="clear" w:pos="8640"/>
        </w:tabs>
        <w:jc w:val="both"/>
        <w:rPr>
          <w:rFonts w:ascii="Arial" w:hAnsi="Arial" w:cs="Arial"/>
        </w:rPr>
      </w:pPr>
      <w:r>
        <w:rPr>
          <w:rFonts w:cs="Arial" w:ascii="Arial" w:hAnsi="Arial"/>
        </w:rPr>
        <w:t>EXHIBIT A</w:t>
        <w:tab/>
        <w:tab/>
        <w:tab/>
        <w:t>FORM OF GUARANTY (PARTY A)</w:t>
      </w:r>
    </w:p>
    <w:sectPr>
      <w:footerReference w:type="default" r:id="rId2"/>
      <w:footerReference w:type="first" r:id="rId3"/>
      <w:type w:val="nextPage"/>
      <w:pgSz w:w="12240" w:h="15840"/>
      <w:pgMar w:left="1296"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page">
                <wp:posOffset>3841115</wp:posOffset>
              </wp:positionH>
              <wp:positionV relativeFrom="paragraph">
                <wp:posOffset>-34290</wp:posOffset>
              </wp:positionV>
              <wp:extent cx="141605"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2.7pt;mso-position-vertical-relative:text;margin-left:302.45pt;mso-position-horizontal-relative:page">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10</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Roman"/>
      <w:lvlText w:val="(%1)"/>
      <w:lvlJc w:val="start"/>
      <w:pPr>
        <w:tabs>
          <w:tab w:val="num" w:pos="2160"/>
        </w:tabs>
        <w:ind w:start="2160" w:hanging="72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4"/>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9"/>
      <w:numFmt w:val="lowerLetter"/>
      <w:lvlText w:val="(%1)"/>
      <w:lvlJc w:val="start"/>
      <w:pPr>
        <w:tabs>
          <w:tab w:val="num" w:pos="1800"/>
        </w:tabs>
        <w:ind w:start="1800" w:hanging="360"/>
      </w:pPr>
      <w:rPr/>
    </w:lvl>
  </w:abstractNum>
  <w:abstractNum w:abstractNumId="7">
    <w:lvl w:ilvl="0">
      <w:start w:val="2"/>
      <w:numFmt w:val="lowerRoman"/>
      <w:lvlText w:val="(%1)"/>
      <w:lvlJc w:val="start"/>
      <w:pPr>
        <w:tabs>
          <w:tab w:val="num" w:pos="2160"/>
        </w:tabs>
        <w:ind w:start="2160" w:hanging="720"/>
      </w:pPr>
      <w:rPr/>
    </w:lvl>
  </w:abstractNum>
  <w:abstractNum w:abstractNumId="8">
    <w:lvl w:ilvl="0">
      <w:start w:val="7"/>
      <w:numFmt w:val="lowerLetter"/>
      <w:lvlText w:val="(%1)"/>
      <w:lvlJc w:val="start"/>
      <w:pPr>
        <w:tabs>
          <w:tab w:val="num" w:pos="1800"/>
        </w:tabs>
        <w:ind w:start="1800" w:hanging="360"/>
      </w:pPr>
      <w:rPr/>
    </w:lvl>
  </w:abstractNum>
  <w:abstractNum w:abstractNumId="9">
    <w:lvl w:ilvl="0">
      <w:start w:val="13"/>
      <w:numFmt w:val="lowerLetter"/>
      <w:lvlText w:val="(%1)"/>
      <w:lvlJc w:val="start"/>
      <w:pPr>
        <w:tabs>
          <w:tab w:val="num" w:pos="1440"/>
        </w:tabs>
        <w:ind w:start="1440" w:hanging="720"/>
      </w:pPr>
      <w:rPr/>
    </w:lvl>
  </w:abstractNum>
  <w:abstractNum w:abstractNumId="10">
    <w:lvl w:ilvl="0">
      <w:start w:val="1"/>
      <w:numFmt w:val="lowerLetter"/>
      <w:lvlText w:val="(%1)"/>
      <w:lvlJc w:val="start"/>
      <w:pPr>
        <w:tabs>
          <w:tab w:val="num" w:pos="1440"/>
        </w:tabs>
        <w:ind w:start="1440" w:hanging="720"/>
      </w:pPr>
      <w:rPr/>
    </w:lvl>
  </w:abstractNum>
  <w:abstractNum w:abstractNumId="11">
    <w:lvl w:ilvl="0">
      <w:start w:val="7"/>
      <w:numFmt w:val="lowerLetter"/>
      <w:lvlText w:val="(%1)"/>
      <w:lvlJc w:val="start"/>
      <w:pPr>
        <w:tabs>
          <w:tab w:val="num" w:pos="1440"/>
        </w:tabs>
        <w:ind w:start="1440" w:hanging="720"/>
      </w:pPr>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val="false"/>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2000-09-20T20:08:00Z</dcterms:created>
  <dc:creator>VEGAR</dc:creator>
  <dc:description/>
  <dc:language>en-CA</dc:language>
  <cp:lastModifiedBy>JACOB</cp:lastModifiedBy>
  <cp:lastPrinted>2000-08-30T08:55:00Z</cp:lastPrinted>
  <dcterms:modified xsi:type="dcterms:W3CDTF">2000-09-26T12:56:00Z</dcterms:modified>
  <cp:revision>6</cp:revision>
  <dc:subject/>
  <dc:title>EXECUTION COPY</dc:title>
</cp:coreProperties>
</file>