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8"/>
        </w:numPr>
        <w:rPr/>
      </w:pPr>
      <w:r>
        <w:rPr/>
        <w:t>General Authorization</w:t>
      </w:r>
    </w:p>
    <w:p>
      <w:pPr>
        <w:pStyle w:val="Normal"/>
        <w:jc w:val="both"/>
        <w:rPr/>
      </w:pPr>
      <w:r>
        <w:rPr/>
      </w:r>
    </w:p>
    <w:p>
      <w:pPr>
        <w:pStyle w:val="Normal"/>
        <w:jc w:val="both"/>
        <w:rPr/>
      </w:pPr>
      <w:r>
        <w:rPr/>
        <w:t>Midwest Energy Hub, L.L.C., a Delaware Limited Liability Company (MEH) is authorized to execute Transactions and manage these Transactions in support of its businesses.</w:t>
      </w:r>
    </w:p>
    <w:p>
      <w:pPr>
        <w:pStyle w:val="Normal"/>
        <w:jc w:val="both"/>
        <w:rPr/>
      </w:pPr>
      <w:r>
        <w:rPr/>
      </w:r>
    </w:p>
    <w:p>
      <w:pPr>
        <w:pStyle w:val="Normal"/>
        <w:jc w:val="both"/>
        <w:rPr/>
      </w:pPr>
      <w:r>
        <w:rPr/>
        <w:t>All Transactions covered by this policy must be conducted in compliance with all MEH policies, including but not limited to the MEH Risk Procedure and Control Guidelines, as each may be amended, supplemented or restated from time to time by the Board of Managers of MEH (collectively the “MEH Policies”).</w:t>
      </w:r>
    </w:p>
    <w:p>
      <w:pPr>
        <w:pStyle w:val="Normal"/>
        <w:jc w:val="both"/>
        <w:rPr/>
      </w:pPr>
      <w:r>
        <w:rPr/>
      </w:r>
    </w:p>
    <w:p>
      <w:pPr>
        <w:pStyle w:val="Heading3"/>
        <w:numPr>
          <w:ilvl w:val="0"/>
          <w:numId w:val="8"/>
        </w:numPr>
        <w:rPr/>
      </w:pPr>
      <w:r>
        <w:rPr/>
        <w:t>Trading Portfolio</w:t>
      </w:r>
    </w:p>
    <w:p>
      <w:pPr>
        <w:pStyle w:val="Normal"/>
        <w:jc w:val="both"/>
        <w:rPr/>
      </w:pPr>
      <w:r>
        <w:rPr/>
      </w:r>
    </w:p>
    <w:p>
      <w:pPr>
        <w:pStyle w:val="Normal"/>
        <w:jc w:val="both"/>
        <w:rPr/>
      </w:pPr>
      <w:r>
        <w:rPr/>
        <w:t xml:space="preserve">Designated MEH representatives are authorized to enter into Transactions that create Positions for MEH, its affiliates, or MEH customer transactions within the limits specified herein in </w:t>
      </w:r>
      <w:r>
        <w:rPr>
          <w:u w:val="single"/>
        </w:rPr>
        <w:t>Appendix I</w:t>
      </w:r>
      <w:r>
        <w:rPr/>
        <w:t>. These Positions shall be managed in the MEH Trading Portfolio by the Commercial Development Manager for MEH(see organizational chart) This Trading Portfolio is designed to capture and manage risks related to the optimization of MEH assets the  physical delivery of natural gas and customer asset management services within the approved limits.</w:t>
      </w:r>
    </w:p>
    <w:p>
      <w:pPr>
        <w:pStyle w:val="Normal"/>
        <w:jc w:val="both"/>
        <w:rPr/>
      </w:pPr>
      <w:r>
        <w:rPr/>
      </w:r>
    </w:p>
    <w:p>
      <w:pPr>
        <w:pStyle w:val="Heading1"/>
        <w:numPr>
          <w:ilvl w:val="0"/>
          <w:numId w:val="6"/>
        </w:numPr>
        <w:rPr/>
      </w:pPr>
      <w:r>
        <w:rPr/>
        <w:t>MEH Risk Management Committee</w:t>
      </w:r>
    </w:p>
    <w:p>
      <w:pPr>
        <w:pStyle w:val="Header"/>
        <w:tabs>
          <w:tab w:val="clear" w:pos="4320"/>
          <w:tab w:val="clear" w:pos="8640"/>
        </w:tabs>
        <w:rPr/>
      </w:pPr>
      <w:r>
        <w:rPr/>
      </w:r>
    </w:p>
    <w:p>
      <w:pPr>
        <w:pStyle w:val="Normal"/>
        <w:rPr/>
      </w:pPr>
      <w:r>
        <w:rPr>
          <w:color w:val="0000FF"/>
          <w:u w:val="single"/>
        </w:rPr>
        <w:t>Organization</w:t>
      </w:r>
      <w:r>
        <w:rPr/>
        <w:t xml:space="preserve">  </w:t>
      </w:r>
    </w:p>
    <w:p>
      <w:pPr>
        <w:pStyle w:val="Normal"/>
        <w:rPr/>
      </w:pPr>
      <w:r>
        <w:rPr/>
        <w:t>MEH Risk Management Committee is composed of two members of senior management, one from each Member Parent Company, appointed by the Board of Managers.  It oversees the risk control environment for each Member Parent Company, including risk management procedures, measurements, strategies,   other internal controls, and the new product approval process; and ultimately reports back to the Board of Managers.  At the end of each quarter, the Risk Management Committee will provide a year-to-date summary report of MEH activities to the Board of Managers as it relates to the aforementioned areas.</w:t>
      </w:r>
    </w:p>
    <w:p>
      <w:pPr>
        <w:pStyle w:val="Normal"/>
        <w:rPr/>
      </w:pPr>
      <w:r>
        <w:rPr/>
      </w:r>
    </w:p>
    <w:p>
      <w:pPr>
        <w:pStyle w:val="Normal"/>
        <w:rPr>
          <w:color w:val="0000FF"/>
          <w:u w:val="single"/>
        </w:rPr>
      </w:pPr>
      <w:r>
        <w:rPr>
          <w:color w:val="0000FF"/>
          <w:u w:val="single"/>
        </w:rPr>
        <w:t>Authority</w:t>
      </w:r>
    </w:p>
    <w:p>
      <w:pPr>
        <w:pStyle w:val="Normal"/>
        <w:jc w:val="both"/>
        <w:rPr/>
      </w:pPr>
      <w:r>
        <w:rPr/>
        <w:t>The MEH Board of Managers grants authority to the Risk Management Committee to allocate risk limits across all MEH business lines.  It establishes guidelines for loss limits, open positions, maturity/gap risk limits, and potential exposure limits.  Limits will be reviewed and approved annually or when market or business conditions warrant.  Limits may be allocated based on the aggregate portfolio or risks within MEH, thereby taking into account correlations and natural offsets between trading desks.  The Risk Management Committee may allocate risk, but cannot alter predefined risk limits or approve material limit exceptions without the Board of Manager’s prior approval.</w:t>
      </w:r>
    </w:p>
    <w:p>
      <w:pPr>
        <w:pStyle w:val="Normal"/>
        <w:jc w:val="both"/>
        <w:rPr/>
      </w:pPr>
      <w:r>
        <w:rPr/>
      </w:r>
    </w:p>
    <w:p>
      <w:pPr>
        <w:pStyle w:val="Normal"/>
        <w:jc w:val="both"/>
        <w:rPr/>
      </w:pPr>
      <w:r>
        <w:rPr/>
        <w:t xml:space="preserve">Individuals designated by the MEH Risk Management Committee will periodically perform VaR analysis, curve validation, stress testing, scenario testing and other risk management procedures as necessary. </w:t>
      </w:r>
    </w:p>
    <w:p>
      <w:pPr>
        <w:pStyle w:val="Normal"/>
        <w:jc w:val="both"/>
        <w:rPr/>
      </w:pPr>
      <w:r>
        <w:rPr/>
      </w:r>
    </w:p>
    <w:p>
      <w:pPr>
        <w:pStyle w:val="Normal"/>
        <w:rPr/>
      </w:pPr>
      <w:r>
        <w:rPr/>
        <w:t>The MEH Risk Committee may appoint one of its members to assume the role of Chief Risk Officer (CRO) who will take on the responsibilities and act on behalf of the MEH Risk Committee.</w:t>
      </w:r>
    </w:p>
    <w:p>
      <w:pPr>
        <w:pStyle w:val="Normal"/>
        <w:rPr>
          <w:rFonts w:eastAsia="Book Antiqua"/>
        </w:rPr>
      </w:pPr>
      <w:r>
        <w:rPr>
          <w:rFonts w:eastAsia="Book Antiqua"/>
        </w:rPr>
        <w:t xml:space="preserve"> </w:t>
      </w:r>
    </w:p>
    <w:p>
      <w:pPr>
        <w:pStyle w:val="Normal"/>
        <w:rPr>
          <w:color w:val="0000FF"/>
          <w:u w:val="single"/>
        </w:rPr>
      </w:pPr>
      <w:r>
        <w:rPr>
          <w:color w:val="0000FF"/>
          <w:u w:val="single"/>
        </w:rPr>
        <w:t>Primary Duties</w:t>
      </w:r>
    </w:p>
    <w:p>
      <w:pPr>
        <w:pStyle w:val="Normal"/>
        <w:rPr/>
      </w:pPr>
      <w:r>
        <w:rPr/>
        <w:t>The Risk Committee or CRO is charged with carrying out the Risk Management Policy on a daily basis.  The CRO  is responsible for aggregating positions and risk exposures and ensuring that daily risk management reports are generated which exhibit net position, cumulative losses, and results from stress tests, VaR, and other risk analytic tests including limit violations as required by the MEH Risk Management Committee.   The Risk Committee  or  acting CRO monitors position limits daily  and violations and ultimately reports back to the MEH Board of Managers quarterly, or when warranted by market conditions, portfolio composition , or risk profile.</w:t>
      </w:r>
    </w:p>
    <w:p>
      <w:pPr>
        <w:pStyle w:val="Normal"/>
        <w:rPr/>
      </w:pPr>
      <w:r>
        <w:rPr/>
      </w:r>
    </w:p>
    <w:p>
      <w:pPr>
        <w:pStyle w:val="Normal"/>
        <w:rPr/>
      </w:pPr>
      <w:r>
        <w:rPr/>
      </w:r>
    </w:p>
    <w:p>
      <w:pPr>
        <w:pStyle w:val="Normal"/>
        <w:rPr/>
      </w:pPr>
      <w:r>
        <w:rPr/>
      </w:r>
    </w:p>
    <w:p>
      <w:pPr>
        <w:pStyle w:val="Heading9"/>
        <w:ind w:hanging="0" w:start="0"/>
        <w:rPr/>
      </w:pPr>
      <w:r>
        <w:rPr/>
        <w:t>Decision Process</w:t>
      </w:r>
    </w:p>
    <w:p>
      <w:pPr>
        <w:pStyle w:val="Normal"/>
        <w:rPr/>
      </w:pPr>
      <w:r>
        <w:rPr/>
        <w:t>The Risk Management Committee will be required to meet at the least once a month.  Decisions rendered by the Risk Management Committee must be unanimous. In their absence,Risk Management Committee members will delegate their responsibilities.  Unresolved issues will be taken to the Board of Managers for final decision.</w:t>
      </w:r>
    </w:p>
    <w:p>
      <w:pPr>
        <w:pStyle w:val="Normal"/>
        <w:rPr/>
      </w:pPr>
      <w:r>
        <w:rPr/>
      </w:r>
    </w:p>
    <w:p>
      <w:pPr>
        <w:pStyle w:val="Heading9"/>
        <w:ind w:hanging="0" w:start="0"/>
        <w:rPr/>
      </w:pPr>
      <w:r>
        <w:rPr/>
        <w:t>Amendment Process</w:t>
      </w:r>
    </w:p>
    <w:p>
      <w:pPr>
        <w:pStyle w:val="Normal"/>
        <w:rPr>
          <w:color w:val="0000FF"/>
          <w:u w:val="single"/>
        </w:rPr>
      </w:pPr>
      <w:r>
        <w:rPr>
          <w:color w:val="0000FF"/>
          <w:u w:val="single"/>
        </w:rPr>
      </w:r>
    </w:p>
    <w:p>
      <w:pPr>
        <w:pStyle w:val="BodyText2"/>
        <w:rPr/>
      </w:pPr>
      <w:r>
        <w:rPr/>
        <w:t>Amendments to the Risk Policy may be made with the consent of both Risk Management Committee members within the Risk Committee’s authority.   Amendments beyond the scope of the Risk Committee’s authority,  must be documented, distributed to the appropriate MEH personnel, and then forwarded to the Board of Managers for final approval. (Section VIII)</w:t>
      </w:r>
    </w:p>
    <w:p>
      <w:pPr>
        <w:pStyle w:val="Normal"/>
        <w:rPr>
          <w:rFonts w:eastAsia="Book Antiqua"/>
        </w:rPr>
      </w:pPr>
      <w:r>
        <w:rPr>
          <w:rFonts w:eastAsia="Book Antiqua"/>
        </w:rPr>
        <w:t xml:space="preserve"> </w:t>
      </w:r>
    </w:p>
    <w:p>
      <w:pPr>
        <w:pStyle w:val="Heading3"/>
        <w:numPr>
          <w:ilvl w:val="0"/>
          <w:numId w:val="6"/>
        </w:numPr>
        <w:rPr>
          <w:u w:val="single"/>
        </w:rPr>
      </w:pPr>
      <w:r>
        <w:rPr>
          <w:u w:val="single"/>
        </w:rPr>
        <w:t>Position and Loss Notification Requirements</w:t>
      </w:r>
    </w:p>
    <w:p>
      <w:pPr>
        <w:pStyle w:val="Normal"/>
        <w:keepNext w:val="true"/>
        <w:jc w:val="both"/>
        <w:rPr>
          <w:u w:val="single"/>
        </w:rPr>
      </w:pPr>
      <w:r>
        <w:rPr>
          <w:u w:val="single"/>
        </w:rPr>
      </w:r>
    </w:p>
    <w:p>
      <w:pPr>
        <w:pStyle w:val="BodyText"/>
        <w:rPr/>
      </w:pPr>
      <w:r>
        <w:rPr/>
        <w:t>MEH trading activities are subject to a combination of limits.  These limits include, but are not limited to, Net Open Position, Maturity/Gap Risk, and Potential Exposure limits and Loss notifications, as appropriate for the type of business activity under consideration.</w:t>
      </w:r>
    </w:p>
    <w:p>
      <w:pPr>
        <w:pStyle w:val="Normal"/>
        <w:jc w:val="both"/>
        <w:rPr/>
      </w:pPr>
      <w:r>
        <w:rPr/>
      </w:r>
    </w:p>
    <w:p>
      <w:pPr>
        <w:pStyle w:val="Normal"/>
        <w:jc w:val="both"/>
        <w:rPr/>
      </w:pPr>
      <w:r>
        <w:rPr/>
        <w:t>The following Limits will be utilized:</w:t>
      </w:r>
    </w:p>
    <w:p>
      <w:pPr>
        <w:pStyle w:val="Normal"/>
        <w:jc w:val="both"/>
        <w:rPr/>
      </w:pPr>
      <w:r>
        <w:rPr/>
      </w:r>
    </w:p>
    <w:p>
      <w:pPr>
        <w:pStyle w:val="Normal"/>
        <w:numPr>
          <w:ilvl w:val="0"/>
          <w:numId w:val="10"/>
        </w:numPr>
        <w:rPr/>
      </w:pPr>
      <w:r>
        <w:rPr>
          <w:b/>
          <w:u w:val="single"/>
        </w:rPr>
        <w:t>Net Open Position Limits</w:t>
      </w:r>
      <w:r>
        <w:rPr/>
        <w:t>. Open positions are measured by the aggregate net notional value of the contracts.  The maximum position limit for a business is 100% of the physical volumes at risk or the risk associated with non-physical transactions.  Specific MEH activities are subject to the Net Open Position limits at the Commodity Group level, as specified in Appendix I.  Net open position limits are further divided into position limits for individual time periods.</w:t>
      </w:r>
    </w:p>
    <w:p>
      <w:pPr>
        <w:pStyle w:val="Normal"/>
        <w:rPr/>
      </w:pPr>
      <w:r>
        <w:rPr/>
      </w:r>
    </w:p>
    <w:p>
      <w:pPr>
        <w:pStyle w:val="Normal"/>
        <w:numPr>
          <w:ilvl w:val="0"/>
          <w:numId w:val="10"/>
        </w:numPr>
        <w:rPr>
          <w:b/>
        </w:rPr>
      </w:pPr>
      <w:r>
        <w:rPr>
          <w:b/>
          <w:u w:val="single"/>
        </w:rPr>
        <w:t>Maturity/Gap Risk Limits</w:t>
      </w:r>
      <w:r>
        <w:rPr/>
        <w:t xml:space="preserve">. Gap risk measurements allow the portfolio of long and short exposures to be classified into time buckets.  It aggregates the specific risk exposures of different maturity instruments into time buckets.  While maturity mismatches </w:t>
      </w:r>
      <w:r>
        <w:rPr>
          <w:i/>
        </w:rPr>
        <w:t>across</w:t>
      </w:r>
      <w:r>
        <w:rPr/>
        <w:t xml:space="preserve"> time buckets are accounted for by gap analysis, those </w:t>
      </w:r>
      <w:r>
        <w:rPr>
          <w:i/>
        </w:rPr>
        <w:t>within</w:t>
      </w:r>
      <w:r>
        <w:rPr/>
        <w:t xml:space="preserve"> a time bucket are not.  Consequently, time bucket allocation will require approval by the MEH Risk Management Committee.</w:t>
      </w:r>
    </w:p>
    <w:p>
      <w:pPr>
        <w:pStyle w:val="Normal"/>
        <w:rPr>
          <w:b/>
        </w:rPr>
      </w:pPr>
      <w:r>
        <w:rPr>
          <w:b/>
        </w:rPr>
      </w:r>
    </w:p>
    <w:p>
      <w:pPr>
        <w:pStyle w:val="BodyTextIndent3"/>
        <w:rPr/>
      </w:pPr>
      <w:r>
        <w:rPr/>
        <w:t xml:space="preserve">Gap limits will be applicable for the NYMEX, index,  and basis books.  The gap structure for the NYMEX book will be daily for the next 10 days, weekly for the subsequent four weeks, monthly for the subsequent two years, quarterly for the subsequent time periods.  In order to account for hourly exposures, finer granulation will be employed.   </w:t>
      </w:r>
    </w:p>
    <w:p>
      <w:pPr>
        <w:pStyle w:val="Normal"/>
        <w:rPr/>
      </w:pPr>
      <w:r>
        <w:rPr/>
      </w:r>
    </w:p>
    <w:p>
      <w:pPr>
        <w:pStyle w:val="BodyTextIndent3"/>
        <w:rPr/>
      </w:pPr>
      <w:r>
        <w:rPr/>
        <w:t xml:space="preserve">Time bucket exposures are controlled through net open position, trader, delta, gamma, and vega, risk limits where applicable.  The maximum aggregate time bucket exposure is determined by and rolled up into the book, market, and portfolio limits.  </w:t>
      </w:r>
    </w:p>
    <w:p>
      <w:pPr>
        <w:pStyle w:val="Normal"/>
        <w:ind w:start="720" w:end="0"/>
        <w:jc w:val="both"/>
        <w:rPr/>
      </w:pPr>
      <w:r>
        <w:rPr/>
      </w:r>
    </w:p>
    <w:p>
      <w:pPr>
        <w:pStyle w:val="Normal"/>
        <w:numPr>
          <w:ilvl w:val="0"/>
          <w:numId w:val="10"/>
        </w:numPr>
        <w:jc w:val="both"/>
        <w:rPr/>
      </w:pPr>
      <w:r>
        <w:rPr>
          <w:b/>
          <w:u w:val="single"/>
        </w:rPr>
        <w:t>Potential Exposure Limits</w:t>
      </w:r>
      <w:r>
        <w:rPr>
          <w:u w:val="single"/>
        </w:rPr>
        <w:t xml:space="preserve">. </w:t>
      </w:r>
      <w:r>
        <w:rPr/>
        <w:t xml:space="preserve"> MEH activities are subject to potential exposure analysis using stress-testing , scenario analysis, and limits based on Value-at-Risk, calculated daily or as appropriate to the business activity under consideration at the Portfolio level and at the Commodity Group level as directed by the MEH Risk Management Committee.</w:t>
      </w:r>
    </w:p>
    <w:p>
      <w:pPr>
        <w:pStyle w:val="Normal"/>
        <w:jc w:val="both"/>
        <w:rPr/>
      </w:pPr>
      <w:r>
        <w:rPr/>
      </w:r>
    </w:p>
    <w:p>
      <w:pPr>
        <w:pStyle w:val="Normal"/>
        <w:numPr>
          <w:ilvl w:val="0"/>
          <w:numId w:val="10"/>
        </w:numPr>
        <w:rPr/>
      </w:pPr>
      <w:r>
        <w:rPr>
          <w:u w:val="single"/>
        </w:rPr>
        <w:t>Loss limits</w:t>
      </w:r>
      <w:r>
        <w:rPr/>
        <w:t>.  These limits are defined as the maximum mark to market loss due to commodity price changes within a predetermined time period.  Compliance within the limit is calculated each day by the gains and losses of all settled physical and non-physical transactions plus the gains and losses of all open positions of physical and non-physical transactions.  MEH activities are subject to daily, five-day cumulative and annual loss limits as determined by the MEH Risk Management Committee.</w:t>
      </w:r>
    </w:p>
    <w:p>
      <w:pPr>
        <w:pStyle w:val="Normal"/>
        <w:rPr/>
      </w:pPr>
      <w:r>
        <w:rPr/>
      </w:r>
    </w:p>
    <w:p>
      <w:pPr>
        <w:pStyle w:val="Normal"/>
        <w:rPr/>
      </w:pPr>
      <w:r>
        <w:rPr/>
      </w:r>
    </w:p>
    <w:p>
      <w:pPr>
        <w:pStyle w:val="Normal"/>
        <w:numPr>
          <w:ilvl w:val="0"/>
          <w:numId w:val="10"/>
        </w:numPr>
        <w:jc w:val="both"/>
        <w:rPr/>
      </w:pPr>
      <w:r>
        <w:rPr>
          <w:b/>
          <w:u w:val="single"/>
        </w:rPr>
        <w:t>Value-at-Risk Limits</w:t>
      </w:r>
      <w:r>
        <w:rPr/>
        <w:t>.  If the aggregate VAR limit is exceeded or if the VAR for any Commodity Group or Portfolio is equal to or in excess of the applicable limit, the MEH Risk Management Committee  shall promptly communicate the occurrence to the Board of Managers of MEH and any designees.</w:t>
      </w:r>
    </w:p>
    <w:p>
      <w:pPr>
        <w:pStyle w:val="Normal"/>
        <w:jc w:val="both"/>
        <w:rPr>
          <w:b/>
        </w:rPr>
      </w:pPr>
      <w:r>
        <w:rPr>
          <w:b/>
        </w:rPr>
      </w:r>
    </w:p>
    <w:p>
      <w:pPr>
        <w:pStyle w:val="Normal"/>
        <w:jc w:val="both"/>
        <w:rPr>
          <w:b/>
        </w:rPr>
      </w:pPr>
      <w:r>
        <w:rPr>
          <w:b/>
        </w:rPr>
      </w:r>
    </w:p>
    <w:p>
      <w:pPr>
        <w:pStyle w:val="Normal"/>
        <w:numPr>
          <w:ilvl w:val="0"/>
          <w:numId w:val="10"/>
        </w:numPr>
        <w:jc w:val="both"/>
        <w:rPr/>
      </w:pPr>
      <w:r>
        <w:rPr>
          <w:b/>
          <w:u w:val="single"/>
        </w:rPr>
        <w:t>Regulated Exchange Lim</w:t>
      </w:r>
      <w:r>
        <w:rPr>
          <w:b/>
        </w:rPr>
        <w:t>its</w:t>
      </w:r>
      <w:r>
        <w:rPr/>
        <w:t>.  MEH may be subject to limits imposed by regulated exchanges on which they transact.  MEH shall comply with any such limits imposed on them, as such limits may be modified from time to time.</w:t>
      </w:r>
    </w:p>
    <w:p>
      <w:pPr>
        <w:pStyle w:val="BodyText"/>
        <w:keepNext w:val="false"/>
        <w:rPr/>
      </w:pPr>
      <w:r>
        <w:rPr/>
      </w:r>
    </w:p>
    <w:p>
      <w:pPr>
        <w:pStyle w:val="Normal"/>
        <w:jc w:val="both"/>
        <w:rPr/>
      </w:pPr>
      <w:r>
        <w:rPr/>
      </w:r>
    </w:p>
    <w:p>
      <w:pPr>
        <w:pStyle w:val="Heading3"/>
        <w:numPr>
          <w:ilvl w:val="0"/>
          <w:numId w:val="6"/>
        </w:numPr>
        <w:rPr/>
      </w:pPr>
      <w:r>
        <w:rPr/>
        <w:t>Limit Violation/Loss Notification Requirements</w:t>
      </w:r>
    </w:p>
    <w:p>
      <w:pPr>
        <w:pStyle w:val="Normal"/>
        <w:jc w:val="both"/>
        <w:rPr/>
      </w:pPr>
      <w:r>
        <w:rPr/>
      </w:r>
    </w:p>
    <w:p>
      <w:pPr>
        <w:pStyle w:val="Normal"/>
        <w:jc w:val="both"/>
        <w:rPr/>
      </w:pPr>
      <w:r>
        <w:rPr/>
        <w:t>Notwithstanding the other provisions of this Policy, any violation of limits must be reported to the MEH Board of Managers and MEH Risk Committee.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p>
    <w:p>
      <w:pPr>
        <w:pStyle w:val="Normal"/>
        <w:jc w:val="both"/>
        <w:rPr/>
      </w:pPr>
      <w:r>
        <w:rPr/>
      </w:r>
    </w:p>
    <w:p>
      <w:pPr>
        <w:pStyle w:val="Normal"/>
        <w:numPr>
          <w:ilvl w:val="0"/>
          <w:numId w:val="9"/>
        </w:numPr>
        <w:jc w:val="both"/>
        <w:rPr/>
      </w:pPr>
      <w:r>
        <w:rPr>
          <w:b/>
          <w:u w:val="single"/>
        </w:rPr>
        <w:t>Net Open Position Limits; Maturity/Gap Risk Limit Violations</w:t>
      </w:r>
      <w:r>
        <w:rPr>
          <w:b/>
        </w:rPr>
        <w:t>.</w:t>
      </w:r>
      <w:r>
        <w:rPr/>
        <w:t xml:space="preserve">  If the limit violation is equal to or in excess of the applicable limit, the MEH Risk Management Committee shall promptly communicate the occurrence to the Board of Managers of MEH and any designees.  </w:t>
      </w:r>
    </w:p>
    <w:p>
      <w:pPr>
        <w:pStyle w:val="Normal"/>
        <w:jc w:val="both"/>
        <w:rPr/>
      </w:pPr>
      <w:r>
        <w:rPr/>
      </w:r>
    </w:p>
    <w:p>
      <w:pPr>
        <w:pStyle w:val="Normal"/>
        <w:numPr>
          <w:ilvl w:val="0"/>
          <w:numId w:val="9"/>
        </w:numPr>
        <w:jc w:val="both"/>
        <w:rPr/>
      </w:pPr>
      <w:r>
        <w:rPr>
          <w:b/>
          <w:u w:val="single"/>
        </w:rPr>
        <w:t>Loss Notifications</w:t>
      </w:r>
      <w:r>
        <w:rPr/>
        <w:t xml:space="preserve">. Daily and Cumulative Losses resulting from MEH activities are subject to the reporting requirements, as specified in </w:t>
      </w:r>
      <w:r>
        <w:rPr>
          <w:u w:val="single"/>
        </w:rPr>
        <w:t>Section IV.C</w:t>
      </w:r>
      <w:r>
        <w:rPr/>
        <w:t>.</w:t>
      </w:r>
    </w:p>
    <w:p>
      <w:pPr>
        <w:pStyle w:val="Normal"/>
        <w:ind w:start="720" w:end="0"/>
        <w:jc w:val="both"/>
        <w:rPr>
          <w:b/>
          <w:u w:val="single"/>
        </w:rPr>
      </w:pPr>
      <w:r>
        <w:rPr>
          <w:b/>
          <w:u w:val="single"/>
        </w:rPr>
      </w:r>
    </w:p>
    <w:p>
      <w:pPr>
        <w:pStyle w:val="Normal"/>
        <w:numPr>
          <w:ilvl w:val="0"/>
          <w:numId w:val="5"/>
        </w:numPr>
        <w:tabs>
          <w:tab w:val="clear" w:pos="720"/>
          <w:tab w:val="left" w:pos="1080" w:leader="none"/>
        </w:tabs>
        <w:ind w:hanging="360" w:start="1080" w:end="0"/>
        <w:jc w:val="both"/>
        <w:rPr/>
      </w:pPr>
      <w:r>
        <w:rPr>
          <w:b/>
          <w:u w:val="single"/>
        </w:rPr>
        <w:t>Daily Loss Notifications</w:t>
      </w:r>
      <w:r>
        <w:rPr>
          <w:b/>
        </w:rPr>
        <w:t>.</w:t>
      </w:r>
      <w:r>
        <w:rPr/>
        <w:t xml:space="preserve">  If at any time the aggregate Daily Loss or the Daily Loss in any Commodity Group or Portfolio is equal to or in excess of 50% of the respective VAR limit as approved by the Board of Managers, the MEH Risk Management Committee shall promptly communicate the occurrence to the Board of Managers of MEH and the appropriate designees. If at any time the Daily Loss for all Commodity Groups in the aggregate is equal to or in excess of 75% of the respective VAR limit as approved by the Board of Managers, the MEH Risk Management Committee  shall promptly communicate the occurrence to the Board of Managers of MEH and the appropriate  designees. </w:t>
      </w:r>
    </w:p>
    <w:p>
      <w:pPr>
        <w:pStyle w:val="Normal"/>
        <w:keepNext w:val="true"/>
        <w:ind w:start="1440" w:end="0"/>
        <w:jc w:val="both"/>
        <w:rPr/>
      </w:pPr>
      <w:r>
        <w:rPr/>
      </w:r>
    </w:p>
    <w:p>
      <w:pPr>
        <w:pStyle w:val="BodyTextIndent2"/>
        <w:keepNext w:val="true"/>
        <w:numPr>
          <w:ilvl w:val="0"/>
          <w:numId w:val="5"/>
        </w:numPr>
        <w:tabs>
          <w:tab w:val="clear" w:pos="720"/>
          <w:tab w:val="left" w:pos="1080" w:leader="none"/>
        </w:tabs>
        <w:ind w:hanging="360" w:start="1080" w:end="0"/>
        <w:rPr/>
      </w:pPr>
      <w:r>
        <w:rPr>
          <w:u w:val="single"/>
        </w:rPr>
        <w:t>Cumulative Loss Notifications.</w:t>
      </w:r>
      <w:r>
        <w:rPr/>
        <w:t xml:space="preserve">  If at any time the Cumulative Loss in any Commodity Group is equal to or in excess of 75% of the respective VAR limit as approved by the Board of Managers, the MEH Risk Management Committee shall promptly communicate the occurrence to the Board of Managers of MEH and the appropriate  designees.  If at any time the Cumulative Loss for all Commodity Groups in the aggregate is equal to or in excess of the respective VAR limit as approved by the Board of Managers, the MEH Risk Management Committee shall promptly communicate the occurrence to the Board of Managers of MEH and the appropriate designees.</w:t>
      </w:r>
    </w:p>
    <w:p>
      <w:pPr>
        <w:pStyle w:val="BodyTextIndent2"/>
        <w:keepNext w:val="true"/>
        <w:ind w:start="720" w:end="0"/>
        <w:rPr/>
      </w:pPr>
      <w:r>
        <w:rPr/>
      </w:r>
    </w:p>
    <w:p>
      <w:pPr>
        <w:pStyle w:val="BodyTextIndent2"/>
        <w:keepNext w:val="true"/>
        <w:ind w:start="720" w:end="0"/>
        <w:rPr/>
      </w:pPr>
      <w:r>
        <w:rPr/>
      </w:r>
    </w:p>
    <w:p>
      <w:pPr>
        <w:pStyle w:val="BodyTextIndent2"/>
        <w:keepNext w:val="true"/>
        <w:shd w:fill="00FF00" w:val="clear"/>
        <w:ind w:start="720" w:end="0"/>
        <w:rPr/>
      </w:pPr>
      <w:r>
        <w:rPr/>
        <w:t>Individual Trader Limit Violation Notifications</w:t>
      </w:r>
    </w:p>
    <w:p>
      <w:pPr>
        <w:pStyle w:val="BodyTextIndent2"/>
        <w:keepNext w:val="true"/>
        <w:shd w:fill="00FF00" w:val="clear"/>
        <w:ind w:start="720" w:end="0"/>
        <w:rPr/>
      </w:pPr>
      <w:r>
        <w:rPr/>
      </w:r>
    </w:p>
    <w:p>
      <w:pPr>
        <w:pStyle w:val="BodyTextIndent2"/>
        <w:keepNext w:val="true"/>
        <w:numPr>
          <w:ilvl w:val="0"/>
          <w:numId w:val="4"/>
        </w:numPr>
        <w:shd w:fill="00FF00" w:val="clear"/>
        <w:rPr/>
      </w:pPr>
      <w:r>
        <w:rPr>
          <w:u w:val="single"/>
        </w:rPr>
        <w:t xml:space="preserve">First Limit Violation.  </w:t>
      </w:r>
      <w:r>
        <w:rPr/>
        <w:t>At any time, an authorized trader is in violation of either his or her Daily or Cumulative Loss limit violations, he or she will be given a 1</w:t>
      </w:r>
      <w:r>
        <w:rPr>
          <w:vertAlign w:val="superscript"/>
        </w:rPr>
        <w:t>st</w:t>
      </w:r>
      <w:r>
        <w:rPr/>
        <w:t xml:space="preserve"> warning by the MEH Risk Management Committee. </w:t>
      </w:r>
    </w:p>
    <w:p>
      <w:pPr>
        <w:pStyle w:val="BodyTextIndent2"/>
        <w:keepNext w:val="true"/>
        <w:shd w:fill="00FF00" w:val="clear"/>
        <w:ind w:start="0" w:end="0"/>
        <w:rPr/>
      </w:pPr>
      <w:r>
        <w:rPr/>
      </w:r>
    </w:p>
    <w:p>
      <w:pPr>
        <w:pStyle w:val="BodyTextIndent2"/>
        <w:keepNext w:val="true"/>
        <w:numPr>
          <w:ilvl w:val="0"/>
          <w:numId w:val="4"/>
        </w:numPr>
        <w:shd w:fill="00FF00" w:val="clear"/>
        <w:rPr/>
      </w:pPr>
      <w:r>
        <w:rPr>
          <w:u w:val="single"/>
        </w:rPr>
        <w:t>Second Limit Violation</w:t>
      </w:r>
      <w:r>
        <w:rPr/>
        <w:t xml:space="preserve">.  </w:t>
      </w:r>
      <w:r>
        <w:rPr>
          <w:shd w:fill="00FF00" w:val="clear"/>
        </w:rPr>
        <w:t>Within a three month period of the first violation, a</w:t>
      </w:r>
      <w:r>
        <w:rPr/>
        <w:t xml:space="preserve"> second individual trader’s Daily or Cumulative Limit Violation occurs, the authorized trader in given a final warning by the MEH Risk Committee.</w:t>
      </w:r>
    </w:p>
    <w:p>
      <w:pPr>
        <w:pStyle w:val="BodyTextIndent2"/>
        <w:keepNext w:val="true"/>
        <w:shd w:fill="00FF00" w:val="clear"/>
        <w:ind w:start="0" w:end="0"/>
        <w:rPr/>
      </w:pPr>
      <w:r>
        <w:rPr/>
      </w:r>
    </w:p>
    <w:p>
      <w:pPr>
        <w:pStyle w:val="BodyTextIndent2"/>
        <w:keepNext w:val="true"/>
        <w:shd w:fill="00FF00" w:val="clear"/>
        <w:ind w:start="360" w:end="0"/>
        <w:rPr/>
      </w:pPr>
      <w:r>
        <w:rPr>
          <w:u w:val="single"/>
        </w:rPr>
        <w:t>Third Limit Violation</w:t>
      </w:r>
      <w:r>
        <w:rPr/>
        <w:t>.    Upon a third individual trader’s Daily or Cumulative Limit Violation occurring within that same three month period, the authorized trader is suspended from trading and reported to the MEH Board of Managers by the MEH Risk Committee for further review.</w:t>
      </w:r>
    </w:p>
    <w:p>
      <w:pPr>
        <w:pStyle w:val="BodyTextIndent2"/>
        <w:keepNext w:val="true"/>
        <w:ind w:start="0" w:end="0"/>
        <w:rPr/>
      </w:pPr>
      <w:r>
        <w:rPr/>
      </w:r>
    </w:p>
    <w:p>
      <w:pPr>
        <w:pStyle w:val="BodyTextIndent"/>
        <w:ind w:start="0" w:end="0"/>
        <w:rPr/>
      </w:pPr>
      <w:r>
        <w:rPr/>
      </w:r>
    </w:p>
    <w:p>
      <w:pPr>
        <w:pStyle w:val="BodyTextIndent"/>
        <w:ind w:start="0" w:end="0"/>
        <w:rPr/>
      </w:pPr>
      <w:r>
        <w:rPr/>
      </w:r>
    </w:p>
    <w:p>
      <w:pPr>
        <w:pStyle w:val="Heading1"/>
        <w:numPr>
          <w:ilvl w:val="0"/>
          <w:numId w:val="6"/>
        </w:numPr>
        <w:rPr/>
      </w:pPr>
      <w:r>
        <w:rPr/>
        <w:t>Limit Excess Exceptions</w:t>
      </w:r>
    </w:p>
    <w:p>
      <w:pPr>
        <w:pStyle w:val="Normal"/>
        <w:rPr/>
      </w:pPr>
      <w:r>
        <w:rPr/>
      </w:r>
    </w:p>
    <w:p>
      <w:pPr>
        <w:pStyle w:val="Normal"/>
        <w:ind w:firstLine="720" w:end="0"/>
        <w:rPr/>
      </w:pPr>
      <w:r>
        <w:rPr/>
        <w:t xml:space="preserve">Limit excesses are reported daily to the MEH Risk Management Committee.  Requests for limit exceptions by any desk may be approved by the MEH Risk Management Committee within a predetermined amount as long as the aggregate VaR limit for that book has not been breached.  Each request for a limit exception must be accompanied with a strategy developed by the head trader that will bring the desk back into compliance within Risk Management policy.  The limit excess report will document the approved violation on the following day.  The Risk Management Committee will oversee the implementation of the approved trading strategy.  Any limit breach that is not approved will require the direct liquidation of open positions.  </w:t>
      </w:r>
    </w:p>
    <w:p>
      <w:pPr>
        <w:pStyle w:val="Normal"/>
        <w:ind w:firstLine="720" w:end="0"/>
        <w:rPr/>
      </w:pPr>
      <w:r>
        <w:rPr/>
      </w:r>
    </w:p>
    <w:p>
      <w:pPr>
        <w:pStyle w:val="Heading3"/>
        <w:numPr>
          <w:ilvl w:val="0"/>
          <w:numId w:val="6"/>
        </w:numPr>
        <w:rPr/>
      </w:pPr>
      <w:r>
        <w:rPr/>
        <w:t>Operations and Controls</w:t>
      </w:r>
    </w:p>
    <w:p>
      <w:pPr>
        <w:pStyle w:val="Normal"/>
        <w:jc w:val="both"/>
        <w:rPr/>
      </w:pPr>
      <w:r>
        <w:rPr/>
      </w:r>
    </w:p>
    <w:p>
      <w:pPr>
        <w:pStyle w:val="Normal"/>
        <w:numPr>
          <w:ilvl w:val="0"/>
          <w:numId w:val="11"/>
        </w:numPr>
        <w:jc w:val="both"/>
        <w:rPr/>
      </w:pPr>
      <w:r>
        <w:rPr>
          <w:b/>
          <w:u w:val="single"/>
        </w:rPr>
        <w:t>Segregation of Duties</w:t>
      </w:r>
      <w:r>
        <w:rPr>
          <w:b/>
        </w:rPr>
        <w:t>.</w:t>
      </w:r>
      <w:r>
        <w:rPr/>
        <w:t xml:space="preserve">  MEH  business groups or individuals entering into Transactions will be segregated from each of the following activities: recording and aggregation of Transactions; preparation, issuance and verification of MEH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11"/>
        </w:numPr>
        <w:jc w:val="both"/>
        <w:rPr/>
      </w:pPr>
      <w:r>
        <w:rPr>
          <w:b/>
          <w:u w:val="single"/>
        </w:rPr>
        <w:t>Position Reporting</w:t>
      </w:r>
      <w:r>
        <w:rPr>
          <w:b/>
        </w:rPr>
        <w:t>.</w:t>
      </w:r>
      <w:r>
        <w:rPr/>
        <w:t xml:space="preserve">  An  MEH employee designated by the MEH Risk Management Committee shall prepare and distribute a daily report (“Daily Position Report”) showing Commodity Group Net Open Position, profit or loss, potential exposure and any other parameters as may be required by the Board of Managers of MEH.  The Daily Position Report will also report various limits compared to their respective actual amounts.  The MEH Risk Committee shall designate individuals who are authorized to approve the Daily Position Report on behalf of MEH. The Daily Position Report shall be distributed to the MEH Board of Managers, MEH Risk Management Committee and others as designated by the Board of Managers..</w:t>
      </w:r>
    </w:p>
    <w:p>
      <w:pPr>
        <w:pStyle w:val="Normal"/>
        <w:ind w:start="720" w:end="0"/>
        <w:jc w:val="both"/>
        <w:rPr/>
      </w:pPr>
      <w:r>
        <w:rPr/>
      </w:r>
    </w:p>
    <w:p>
      <w:pPr>
        <w:pStyle w:val="Normal"/>
        <w:numPr>
          <w:ilvl w:val="0"/>
          <w:numId w:val="11"/>
        </w:numPr>
        <w:jc w:val="both"/>
        <w:rPr/>
      </w:pPr>
      <w:r>
        <w:rPr>
          <w:b/>
          <w:u w:val="single"/>
        </w:rPr>
        <w:t>Transaction Approvals</w:t>
      </w:r>
      <w:r>
        <w:rPr>
          <w:b/>
        </w:rPr>
        <w:t>.</w:t>
      </w:r>
      <w:r>
        <w:rPr/>
        <w:t xml:space="preserve">  Only those employees designated by the MEH Board of Managers or its designee will be authorized to enter into Transactions on behalf of MEH.  The designee</w:t>
      </w:r>
      <w:r>
        <w:rPr>
          <w:color w:val="000000"/>
        </w:rPr>
        <w:t xml:space="preserve"> must also approve and maintain a record of those employees responsible for the individual Commodity Groups as specified in </w:t>
      </w:r>
      <w:r>
        <w:rPr>
          <w:color w:val="000000"/>
          <w:u w:val="single"/>
        </w:rPr>
        <w:t>Appendix I</w:t>
      </w:r>
      <w:r>
        <w:rPr>
          <w:color w:val="000000"/>
        </w:rPr>
        <w:t>.</w:t>
      </w:r>
      <w:r>
        <w:rPr/>
        <w:t xml:space="preserve">  All Transactions must be entered into in compliance with current or future policies, prevailing at the time transactions are contemplated, of the Structuring Group, Credit Group, Legal Department, Market Risk Group and other similar or relevant groups of MEH and each Member Parent Company.</w:t>
      </w:r>
    </w:p>
    <w:p>
      <w:pPr>
        <w:pStyle w:val="Normal"/>
        <w:ind w:start="720" w:end="0"/>
        <w:jc w:val="both"/>
        <w:rPr/>
      </w:pPr>
      <w:r>
        <w:rPr/>
      </w:r>
    </w:p>
    <w:p>
      <w:pPr>
        <w:pStyle w:val="Normal"/>
        <w:numPr>
          <w:ilvl w:val="0"/>
          <w:numId w:val="11"/>
        </w:numPr>
        <w:jc w:val="both"/>
        <w:rPr/>
      </w:pPr>
      <w:r>
        <w:rPr>
          <w:b/>
          <w:u w:val="single"/>
        </w:rPr>
        <w:t>Calculation of the Net Open Position by Commodity Group</w:t>
      </w:r>
      <w:r>
        <w:rPr>
          <w:b/>
        </w:rPr>
        <w:t>.</w:t>
      </w:r>
      <w:r>
        <w:rPr/>
        <w:t xml:space="preserve"> For purposes of monitoring the Net Open Position Limits, as specified in IIIA., all Positions within a Commodity Group shall be aggregated into a reference Benchmark Position assigned to each group.</w:t>
      </w:r>
    </w:p>
    <w:p>
      <w:pPr>
        <w:pStyle w:val="Normal"/>
        <w:jc w:val="both"/>
        <w:rPr>
          <w:b/>
        </w:rPr>
      </w:pPr>
      <w:r>
        <w:rPr>
          <w:b/>
        </w:rPr>
      </w:r>
    </w:p>
    <w:p>
      <w:pPr>
        <w:pStyle w:val="Normal"/>
        <w:jc w:val="both"/>
        <w:rPr>
          <w:b/>
        </w:rPr>
      </w:pPr>
      <w:r>
        <w:rPr>
          <w:b/>
        </w:rPr>
      </w:r>
    </w:p>
    <w:p>
      <w:pPr>
        <w:pStyle w:val="Header"/>
        <w:tabs>
          <w:tab w:val="clear" w:pos="4320"/>
          <w:tab w:val="clear" w:pos="8640"/>
        </w:tabs>
        <w:rPr/>
      </w:pPr>
      <w:r>
        <w:rPr/>
      </w:r>
    </w:p>
    <w:p>
      <w:pPr>
        <w:pStyle w:val="Heading3"/>
        <w:numPr>
          <w:ilvl w:val="0"/>
          <w:numId w:val="6"/>
        </w:numPr>
        <w:rPr/>
      </w:pPr>
      <w:r>
        <w:rPr/>
        <w:t>Policy Amendment Authority</w:t>
      </w:r>
    </w:p>
    <w:p>
      <w:pPr>
        <w:pStyle w:val="Normal"/>
        <w:jc w:val="both"/>
        <w:rPr/>
      </w:pPr>
      <w:r>
        <w:rPr/>
      </w:r>
    </w:p>
    <w:p>
      <w:pPr>
        <w:pStyle w:val="Normal"/>
        <w:numPr>
          <w:ilvl w:val="0"/>
          <w:numId w:val="7"/>
        </w:numPr>
        <w:jc w:val="both"/>
        <w:rPr/>
      </w:pPr>
      <w:r>
        <w:rPr>
          <w:b/>
        </w:rPr>
        <w:t>Commodity Groups and Positions.</w:t>
      </w:r>
      <w:r>
        <w:rPr/>
        <w:t xml:space="preserve"> The MEH Board of Managers must approve any amendment that authorizes additional Commodity Groups or Positions.</w:t>
      </w:r>
    </w:p>
    <w:p>
      <w:pPr>
        <w:pStyle w:val="Normal"/>
        <w:jc w:val="both"/>
        <w:rPr/>
      </w:pPr>
      <w:r>
        <w:rPr/>
      </w:r>
    </w:p>
    <w:p>
      <w:pPr>
        <w:pStyle w:val="Normal"/>
        <w:numPr>
          <w:ilvl w:val="0"/>
          <w:numId w:val="7"/>
        </w:numPr>
        <w:jc w:val="both"/>
        <w:rPr/>
      </w:pPr>
      <w:r>
        <w:rPr>
          <w:b/>
        </w:rPr>
        <w:t>Limit Changes</w:t>
      </w:r>
      <w:r>
        <w:rPr/>
        <w:t xml:space="preserve">.  Any modification of limits or other amendments, supplements or updates to this Policy, unless covered by </w:t>
      </w:r>
      <w:r>
        <w:rPr>
          <w:u w:val="single"/>
        </w:rPr>
        <w:t>VI A</w:t>
      </w:r>
      <w:r>
        <w:rPr/>
        <w:t xml:space="preserve"> or </w:t>
      </w:r>
      <w:r>
        <w:rPr>
          <w:u w:val="single"/>
        </w:rPr>
        <w:t>VI C</w:t>
      </w:r>
      <w:r>
        <w:rPr/>
        <w:t>, must be approved by the MEH Board of Managers.</w:t>
      </w:r>
    </w:p>
    <w:p>
      <w:pPr>
        <w:pStyle w:val="Normal"/>
        <w:jc w:val="both"/>
        <w:rPr/>
      </w:pPr>
      <w:r>
        <w:rPr/>
      </w:r>
    </w:p>
    <w:p>
      <w:pPr>
        <w:pStyle w:val="Normal"/>
        <w:numPr>
          <w:ilvl w:val="0"/>
          <w:numId w:val="7"/>
        </w:numPr>
        <w:jc w:val="both"/>
        <w:rPr/>
      </w:pPr>
      <w:r>
        <w:rPr>
          <w:b/>
        </w:rPr>
        <w:t xml:space="preserve">Position Measurement Parameters.  </w:t>
      </w:r>
      <w:r>
        <w:rPr/>
        <w:t>Any changes to parameters used in the aggregation and measurement of Positions must be approved by the MEH  Risk Management Committee  or its designee.  This includes, but is not limited to, the Benchmark Positions, VAR parameters, Maturity/Gap Risk periods, conversion ratios, volatility factors and correlation factors.</w:t>
      </w:r>
    </w:p>
    <w:p>
      <w:pPr>
        <w:pStyle w:val="Normal"/>
        <w:jc w:val="both"/>
        <w:rPr/>
      </w:pPr>
      <w:r>
        <w:rPr/>
      </w:r>
    </w:p>
    <w:p>
      <w:pPr>
        <w:pStyle w:val="Normal"/>
        <w:numPr>
          <w:ilvl w:val="0"/>
          <w:numId w:val="7"/>
        </w:numPr>
        <w:rPr/>
      </w:pPr>
      <w:r>
        <w:rPr/>
        <w:t>New Product Approval—All new products will be subject to a new product approval process prior to trading. The MEH Board of Managers is able to authorize any new products traded.  The process requires the business group or individual traders to describe the product, pricing methodology and risk factors. Any proprietary valuation methodology must be validated by the Risk Committee.   The business group must also develop a strategy to execute a deal or make markets in a product.  The strategy requires a full description of all deal terms, risks, hedging techniques, and unhedged residual risks.  The Risk Committee will develop a limit structure and all reporting requirements following approval.</w:t>
      </w:r>
    </w:p>
    <w:p>
      <w:pPr>
        <w:pStyle w:val="Normal"/>
        <w:ind w:start="1080" w:end="0"/>
        <w:rPr/>
      </w:pPr>
      <w:r>
        <w:rPr/>
      </w:r>
    </w:p>
    <w:p>
      <w:pPr>
        <w:pStyle w:val="Normal"/>
        <w:tabs>
          <w:tab w:val="clear" w:pos="720"/>
          <w:tab w:val="left" w:pos="1125" w:leader="none"/>
        </w:tabs>
        <w:ind w:start="360" w:end="0"/>
        <w:jc w:val="both"/>
        <w:rPr/>
      </w:pPr>
      <w:r>
        <w:rPr/>
        <w:t>Exceptions may be made for one-off transactions used to accommodate customer deal flow or products similar in nature to approved products with small variations in risk factors.  Exceptions to the formal product approval process require approval by the Risk Committee prior to trading or execution.</w:t>
      </w:r>
    </w:p>
    <w:p>
      <w:pPr>
        <w:pStyle w:val="Normal"/>
        <w:tabs>
          <w:tab w:val="clear" w:pos="720"/>
          <w:tab w:val="left" w:pos="1125" w:leader="none"/>
        </w:tabs>
        <w:ind w:start="360" w:end="0"/>
        <w:jc w:val="both"/>
        <w:rPr/>
      </w:pPr>
      <w:r>
        <w:rPr/>
      </w:r>
    </w:p>
    <w:p>
      <w:pPr>
        <w:pStyle w:val="Normal"/>
        <w:tabs>
          <w:tab w:val="clear" w:pos="720"/>
          <w:tab w:val="left" w:pos="1125" w:leader="none"/>
        </w:tabs>
        <w:ind w:start="360" w:end="0"/>
        <w:jc w:val="both"/>
        <w:rPr>
          <w:b/>
        </w:rPr>
      </w:pPr>
      <w:r>
        <w:rPr>
          <w:b/>
        </w:rPr>
      </w:r>
    </w:p>
    <w:p>
      <w:pPr>
        <w:pStyle w:val="Heading3"/>
        <w:numPr>
          <w:ilvl w:val="0"/>
          <w:numId w:val="6"/>
        </w:numPr>
        <w:rPr/>
      </w:pPr>
      <w:r>
        <w:rPr/>
        <w:t>Miscellaneous</w:t>
      </w:r>
    </w:p>
    <w:p>
      <w:pPr>
        <w:pStyle w:val="Normal"/>
        <w:jc w:val="both"/>
        <w:rPr/>
      </w:pPr>
      <w:r>
        <w:rPr/>
      </w:r>
    </w:p>
    <w:p>
      <w:pPr>
        <w:pStyle w:val="Normal"/>
        <w:numPr>
          <w:ilvl w:val="0"/>
          <w:numId w:val="3"/>
        </w:numPr>
        <w:tabs>
          <w:tab w:val="left" w:pos="720" w:leader="none"/>
        </w:tabs>
        <w:ind w:hanging="360" w:start="720" w:end="0"/>
        <w:jc w:val="both"/>
        <w:rPr/>
      </w:pPr>
      <w:r>
        <w:rPr>
          <w:b/>
          <w:u w:val="single"/>
        </w:rPr>
        <w:t>Employee Trading</w:t>
      </w:r>
      <w:r>
        <w:rPr>
          <w:b/>
        </w:rPr>
        <w:t>.</w:t>
      </w:r>
      <w:r>
        <w:rPr/>
        <w:t xml:space="preserve">  </w:t>
        <w:tab/>
        <w:t>MEH authorized traders shall not enter into Transactions on behalf of MEH, as listed in Appendix II, or engage in the trading of any Position for the benefit of any party other than MEH (whether for their own account or for the account of any third party) where such Position relates to (i) any financial instrument, security, financial asset or liability which falls within such individual’s responsibility at MEH or (ii) any other commodity, included in any Commodity Group.</w:t>
      </w:r>
    </w:p>
    <w:p>
      <w:pPr>
        <w:pStyle w:val="Normal"/>
        <w:ind w:start="1080" w:end="0"/>
        <w:jc w:val="both"/>
        <w:rPr>
          <w:b/>
        </w:rPr>
      </w:pPr>
      <w:r>
        <w:rPr>
          <w:b/>
        </w:rPr>
      </w:r>
    </w:p>
    <w:p>
      <w:pPr>
        <w:pStyle w:val="Normal"/>
        <w:numPr>
          <w:ilvl w:val="0"/>
          <w:numId w:val="3"/>
        </w:numPr>
        <w:tabs>
          <w:tab w:val="left" w:pos="720" w:leader="none"/>
        </w:tabs>
        <w:ind w:hanging="360" w:start="720" w:end="0"/>
        <w:jc w:val="both"/>
        <w:rPr/>
      </w:pPr>
      <w:r>
        <w:rPr>
          <w:b/>
          <w:u w:val="single"/>
        </w:rPr>
        <w:t>Employee Review of Policies</w:t>
      </w:r>
      <w:r>
        <w:rPr>
          <w:b/>
        </w:rPr>
        <w:t>.</w:t>
      </w:r>
      <w:r>
        <w:rPr/>
        <w:t xml:space="preserve">  An individual participating in any activity or Transaction on behalf of MEH within the coverage of this Policy shall sign, on an annual basis or upon any material revision to this Policy, a statement, attached as Appendix III, approved by the MEH Risk Management Committee  that such employee (i) has read this Policy and the MEH Risk Procedures and Control Guidelines, (ii) understands such Policies, and (iii) has and will comply with such Policies.  Any violation of this Policy by an individual shall be grounds for immediate termination.</w:t>
      </w:r>
    </w:p>
    <w:p>
      <w:pPr>
        <w:pStyle w:val="Normal"/>
        <w:ind w:start="720" w:end="0"/>
        <w:jc w:val="both"/>
        <w:rPr/>
      </w:pPr>
      <w:r>
        <w:rPr/>
      </w:r>
    </w:p>
    <w:p>
      <w:pPr>
        <w:pStyle w:val="Heading3"/>
        <w:numPr>
          <w:ilvl w:val="0"/>
          <w:numId w:val="6"/>
        </w:numPr>
        <w:rPr/>
      </w:pPr>
      <w:r>
        <w:rPr/>
        <w:t>Definitions</w:t>
      </w:r>
    </w:p>
    <w:p>
      <w:pPr>
        <w:pStyle w:val="Normal"/>
        <w:keepNext w:val="true"/>
        <w:jc w:val="both"/>
        <w:rPr/>
      </w:pPr>
      <w:r>
        <w:rPr/>
      </w:r>
    </w:p>
    <w:p>
      <w:pPr>
        <w:pStyle w:val="Normal"/>
        <w:ind w:start="720" w:end="0"/>
        <w:jc w:val="both"/>
        <w:rPr/>
      </w:pPr>
      <w:r>
        <w:rPr>
          <w:rFonts w:eastAsia="Book Antiqua"/>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MEH Chief Risk Officer, in conjunction with the General Manager of MEH.</w:t>
      </w:r>
    </w:p>
    <w:p>
      <w:pPr>
        <w:pStyle w:val="Normal"/>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MEH. (see </w:t>
      </w:r>
      <w:r>
        <w:rPr>
          <w:u w:val="single"/>
        </w:rPr>
        <w:t>Appendix I</w:t>
      </w:r>
      <w:r>
        <w:rPr/>
        <w:t xml:space="preserve">). </w:t>
      </w:r>
    </w:p>
    <w:p>
      <w:pPr>
        <w:pStyle w:val="Normal"/>
        <w:ind w:start="720" w:end="0"/>
        <w:jc w:val="both"/>
        <w:rPr/>
      </w:pPr>
      <w:r>
        <w:rPr/>
      </w:r>
    </w:p>
    <w:p>
      <w:pPr>
        <w:pStyle w:val="Normal"/>
        <w:ind w:start="720" w:end="0"/>
        <w:jc w:val="both"/>
        <w:rPr/>
      </w:pPr>
      <w:r>
        <w:rPr/>
        <w:t>“</w:t>
      </w:r>
      <w:r>
        <w:rPr>
          <w:u w:val="single"/>
        </w:rPr>
        <w:t>Member Parent Company</w:t>
      </w:r>
      <w:r>
        <w:rPr/>
        <w:t>” shall mean Peoples Energy Corp. with respect to Peoples MW, LLC and Enron North America Corp. with respect to Enron MW, L.L.C.</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then effective MEH Risk Management Policy, as may be amended from time to time.</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u w:val="single"/>
        </w:rPr>
        <w:t>Risk Procedure and Control Guidelines</w:t>
      </w:r>
      <w:r>
        <w:rPr/>
        <w:t>”  means guidelines for credit approvals, other controls and operating procedures with respect to trading activities and similar matters, which guidelines when initially adopted shall incorporated Enron Corp.’s risk control and procedures guidelines then in effect, and those additional guidelines for credit approvals, other contract and operating procedures with respect to trading activities, and similar matters as agreed to by the MEH Board of Managers.</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shall mean the Potential Exposure related to a Commodity Group or Position calculated using the Midwest Energy Hub, LLC.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MEH Risk Management Committee  or his designee.</w:t>
      </w:r>
    </w:p>
    <w:tbl>
      <w:tblPr>
        <w:tblW w:w="14238" w:type="dxa"/>
        <w:jc w:val="start"/>
        <w:tblInd w:w="0" w:type="dxa"/>
        <w:tblLayout w:type="fixed"/>
        <w:tblCellMar>
          <w:top w:w="0" w:type="dxa"/>
          <w:start w:w="108" w:type="dxa"/>
          <w:bottom w:w="0" w:type="dxa"/>
          <w:end w:w="108" w:type="dxa"/>
        </w:tblCellMar>
      </w:tblPr>
      <w:tblGrid>
        <w:gridCol w:w="3078"/>
        <w:gridCol w:w="3060"/>
        <w:gridCol w:w="1800"/>
        <w:gridCol w:w="3060"/>
        <w:gridCol w:w="144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060" w:type="dxa"/>
            <w:tcBorders>
              <w:top w:val="single" w:sz="6" w:space="0" w:color="000000"/>
              <w:bottom w:val="single" w:sz="6" w:space="0" w:color="000000"/>
            </w:tcBorders>
          </w:tcPr>
          <w:p>
            <w:pPr>
              <w:pStyle w:val="Normal"/>
              <w:snapToGrid w:val="false"/>
              <w:jc w:val="center"/>
              <w:rPr>
                <w:sz w:val="22"/>
              </w:rPr>
            </w:pPr>
            <w:r>
              <w:rPr>
                <w:sz w:val="22"/>
              </w:rPr>
            </w:r>
          </w:p>
        </w:tc>
        <w:tc>
          <w:tcPr>
            <w:tcW w:w="1800" w:type="dxa"/>
            <w:tcBorders>
              <w:top w:val="single" w:sz="6" w:space="0" w:color="000000"/>
              <w:bottom w:val="single" w:sz="6" w:space="0" w:color="000000"/>
            </w:tcBorders>
          </w:tcPr>
          <w:p>
            <w:pPr>
              <w:pStyle w:val="Normal"/>
              <w:snapToGrid w:val="false"/>
              <w:jc w:val="center"/>
              <w:rPr/>
            </w:pPr>
            <w:r>
              <w:rPr/>
            </w:r>
          </w:p>
        </w:tc>
        <w:tc>
          <w:tcPr>
            <w:tcW w:w="3060" w:type="dxa"/>
            <w:tcBorders>
              <w:top w:val="single" w:sz="6" w:space="0" w:color="000000"/>
              <w:bottom w:val="single" w:sz="6" w:space="0" w:color="000000"/>
            </w:tcBorders>
          </w:tcPr>
          <w:p>
            <w:pPr>
              <w:pStyle w:val="Normal"/>
              <w:snapToGrid w:val="false"/>
              <w:jc w:val="center"/>
              <w:rPr/>
            </w:pPr>
            <w:r>
              <w:rPr/>
            </w:r>
          </w:p>
        </w:tc>
        <w:tc>
          <w:tcPr>
            <w:tcW w:w="1440" w:type="dxa"/>
            <w:tcBorders>
              <w:top w:val="single" w:sz="6" w:space="0" w:color="000000"/>
              <w:bottom w:val="single" w:sz="6" w:space="0" w:color="000000"/>
            </w:tcBorders>
          </w:tcPr>
          <w:p>
            <w:pPr>
              <w:pStyle w:val="Normal"/>
              <w:jc w:val="center"/>
              <w:rPr/>
            </w:pPr>
            <w:r>
              <w:rPr/>
              <w:t>$2 MM</w:t>
            </w:r>
          </w:p>
        </w:tc>
        <w:tc>
          <w:tcPr>
            <w:tcW w:w="1800" w:type="dxa"/>
            <w:tcBorders>
              <w:top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Bcf</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10 Bcf (Rolling 12-Month)</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Ethane/Propane</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Propane Equivalents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250,000 Barrels (Rolling 12-Month)</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$5 MM</w:t>
            </w:r>
          </w:p>
        </w:tc>
        <w:tc>
          <w:tcPr>
            <w:tcW w:w="3060" w:type="dxa"/>
            <w:tcBorders>
              <w:top w:val="single" w:sz="6" w:space="0" w:color="000000"/>
              <w:start w:val="single" w:sz="6" w:space="0" w:color="000000"/>
              <w:bottom w:val="single" w:sz="6" w:space="0" w:color="000000"/>
              <w:end w:val="single" w:sz="6" w:space="0" w:color="000000"/>
            </w:tcBorders>
          </w:tcPr>
          <w:p>
            <w:pPr>
              <w:pStyle w:val="Normal"/>
              <w:jc w:val="center"/>
              <w:rPr/>
            </w:pPr>
            <w:r>
              <w:rPr/>
              <w:t>N/A</w:t>
            </w:r>
          </w:p>
        </w:tc>
        <w:tc>
          <w:tcPr>
            <w:tcW w:w="1440" w:type="dxa"/>
            <w:tcBorders>
              <w:top w:val="single" w:sz="6" w:space="0" w:color="000000"/>
              <w:start w:val="single" w:sz="6" w:space="0" w:color="000000"/>
              <w:bottom w:val="single" w:sz="6" w:space="0" w:color="000000"/>
              <w:end w:val="single" w:sz="6" w:space="0" w:color="000000"/>
            </w:tcBorders>
          </w:tcPr>
          <w:p>
            <w:pPr>
              <w:pStyle w:val="Normal"/>
              <w:jc w:val="center"/>
              <w:rPr/>
            </w:pPr>
            <w:r>
              <w:rPr/>
              <w:t>$0.2 MM</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center"/>
              <w:rPr/>
            </w:pPr>
            <w:r>
              <w:rPr/>
              <w:t>LLC Term</w:t>
            </w:r>
          </w:p>
        </w:tc>
      </w:tr>
    </w:tbl>
    <w:p>
      <w:pPr>
        <w:pStyle w:val="Body"/>
        <w:ind w:start="0" w:end="0"/>
        <w:rPr>
          <w:color w:val="000000"/>
        </w:rPr>
      </w:pPr>
      <w:r>
        <w:rPr>
          <w:color w:val="000000"/>
        </w:rPr>
      </w:r>
      <w:r>
        <w:br w:type="page"/>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b/>
          <w:color w:val="000000"/>
        </w:rPr>
      </w:pPr>
      <w:r>
        <w:rPr>
          <w:b/>
          <w:color w:val="000000"/>
        </w:rPr>
        <w:t>To:</w:t>
        <w:tab/>
        <w:tab/>
        <w:t>Chief Risk Officer</w:t>
      </w:r>
    </w:p>
    <w:p>
      <w:pPr>
        <w:pStyle w:val="Body"/>
        <w:ind w:start="0" w:end="0"/>
        <w:rPr>
          <w:b/>
          <w:color w:val="000000"/>
        </w:rPr>
      </w:pPr>
      <w:r>
        <w:rPr>
          <w:b/>
          <w:color w:val="000000"/>
        </w:rPr>
      </w:r>
    </w:p>
    <w:p>
      <w:pPr>
        <w:pStyle w:val="Body"/>
        <w:ind w:start="0" w:end="0"/>
        <w:rPr>
          <w:b/>
          <w:color w:val="000000"/>
        </w:rPr>
      </w:pPr>
      <w:r>
        <w:rPr>
          <w:b/>
          <w:color w:val="000000"/>
        </w:rPr>
        <w:t>From:</w:t>
        <w:tab/>
        <w:tab/>
        <w:t>MEH Board of Managers</w:t>
      </w:r>
    </w:p>
    <w:p>
      <w:pPr>
        <w:pStyle w:val="Body"/>
        <w:ind w:start="0" w:end="0"/>
        <w:rPr>
          <w:b/>
          <w:color w:val="000000"/>
        </w:rPr>
      </w:pPr>
      <w:r>
        <w:rPr>
          <w:b/>
          <w:color w:val="000000"/>
        </w:rPr>
      </w:r>
    </w:p>
    <w:p>
      <w:pPr>
        <w:pStyle w:val="Body"/>
        <w:ind w:start="0" w:end="0"/>
        <w:rPr>
          <w:b/>
          <w:color w:val="000000"/>
        </w:rPr>
      </w:pPr>
      <w:r>
        <w:rPr>
          <w:b/>
          <w:color w:val="000000"/>
        </w:rPr>
        <w:t>Subject:</w:t>
        <w:tab/>
        <w:t>MEH Authorized Trader List</w:t>
      </w:r>
    </w:p>
    <w:p>
      <w:pPr>
        <w:pStyle w:val="Body"/>
        <w:ind w:start="0" w:end="0"/>
        <w:rPr>
          <w:b/>
          <w:color w:val="000000"/>
        </w:rPr>
      </w:pPr>
      <w:r>
        <w:rPr>
          <w:b/>
          <w:color w:val="000000"/>
        </w:rPr>
      </w:r>
    </w:p>
    <w:p>
      <w:pPr>
        <w:pStyle w:val="Body"/>
        <w:ind w:start="0" w:end="0"/>
        <w:rPr>
          <w:b/>
          <w:color w:val="000000"/>
        </w:rPr>
      </w:pPr>
      <w:r>
        <w:rPr>
          <w:b/>
          <w:color w:val="000000"/>
        </w:rPr>
        <w:t>Date:</w:t>
        <w:tab/>
        <w:tab/>
      </w:r>
    </w:p>
    <w:p>
      <w:pPr>
        <w:pStyle w:val="Body"/>
        <w:ind w:start="0" w:end="0"/>
        <w:rPr>
          <w:b/>
          <w:color w:val="000000"/>
        </w:rPr>
      </w:pPr>
      <w:r>
        <w:rPr>
          <w:b/>
          <w:color w:val="000000"/>
        </w:rPr>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rPr>
      </w:pPr>
      <w:r>
        <w:rPr>
          <w:color w:val="000000"/>
        </w:rPr>
        <w:t>In accordance with the MEH Risk Management Policy, and subject to the Risk Procedure and Control Guidelines, we hereby authorize the following individuals to trade under the following commodity groups, on behalf of MEH. We will notify you on any significant changes and should update this memo as necessary.</w:t>
      </w:r>
    </w:p>
    <w:p>
      <w:pPr>
        <w:pStyle w:val="Body"/>
        <w:ind w:start="0" w:end="0"/>
        <w:rPr>
          <w:color w:val="000000"/>
        </w:rPr>
      </w:pPr>
      <w:r>
        <w:rPr>
          <w:color w:val="000000"/>
        </w:rPr>
      </w:r>
    </w:p>
    <w:p>
      <w:pPr>
        <w:pStyle w:val="Body"/>
        <w:ind w:start="0" w:end="0"/>
        <w:rPr>
          <w:color w:val="000000"/>
        </w:rPr>
      </w:pPr>
      <w:r>
        <w:rPr>
          <w:color w:val="000000"/>
        </w:rPr>
        <w:t>They are listed as follows:</w:t>
      </w:r>
    </w:p>
    <w:p>
      <w:pPr>
        <w:pStyle w:val="Body"/>
        <w:ind w:start="0" w:end="0"/>
        <w:rPr>
          <w:color w:val="000000"/>
        </w:rPr>
      </w:pPr>
      <w:r>
        <w:rPr>
          <w:color w:val="000000"/>
        </w:rPr>
      </w:r>
    </w:p>
    <w:p>
      <w:pPr>
        <w:pStyle w:val="Body"/>
        <w:ind w:start="0" w:end="0"/>
        <w:rPr>
          <w:color w:val="000000"/>
          <w:u w:val="single"/>
        </w:rPr>
      </w:pPr>
      <w:r>
        <w:rPr>
          <w:color w:val="000000"/>
          <w:u w:val="single"/>
        </w:rPr>
        <w:t>NA Natural Gas:</w:t>
      </w:r>
    </w:p>
    <w:p>
      <w:pPr>
        <w:pStyle w:val="Body"/>
        <w:ind w:start="0" w:end="0"/>
        <w:rPr>
          <w:color w:val="000000"/>
        </w:rPr>
      </w:pPr>
      <w:r>
        <w:rPr>
          <w:color w:val="000000"/>
        </w:rPr>
        <w:tab/>
      </w:r>
    </w:p>
    <w:p>
      <w:pPr>
        <w:pStyle w:val="Body"/>
        <w:ind w:firstLine="720" w:start="0" w:end="0"/>
        <w:rPr>
          <w:color w:val="000000"/>
        </w:rPr>
      </w:pPr>
      <w:r>
        <w:rPr>
          <w:color w:val="000000"/>
        </w:rPr>
        <w:t>Richard Tomaski</w:t>
      </w:r>
    </w:p>
    <w:p>
      <w:pPr>
        <w:pStyle w:val="Body"/>
        <w:ind w:firstLine="720" w:start="0" w:end="0"/>
        <w:rPr>
          <w:color w:val="000000"/>
        </w:rPr>
      </w:pPr>
      <w:r>
        <w:rPr>
          <w:color w:val="000000"/>
        </w:rPr>
        <w:t>Lee Fascetti</w:t>
      </w:r>
    </w:p>
    <w:p>
      <w:pPr>
        <w:pStyle w:val="Body"/>
        <w:ind w:start="0" w:end="0"/>
        <w:rPr>
          <w:color w:val="000000"/>
        </w:rPr>
      </w:pPr>
      <w:r>
        <w:rPr>
          <w:color w:val="000000"/>
        </w:rPr>
      </w:r>
    </w:p>
    <w:p>
      <w:pPr>
        <w:pStyle w:val="Body"/>
        <w:ind w:start="0" w:end="0"/>
        <w:rPr>
          <w:color w:val="000000"/>
        </w:rPr>
      </w:pPr>
      <w:r>
        <w:rPr>
          <w:color w:val="000000"/>
        </w:rPr>
      </w:r>
    </w:p>
    <w:p>
      <w:pPr>
        <w:pStyle w:val="Body"/>
        <w:ind w:start="0" w:end="0"/>
        <w:rPr>
          <w:color w:val="000000"/>
          <w:u w:val="single"/>
        </w:rPr>
      </w:pPr>
      <w:r>
        <w:rPr>
          <w:color w:val="000000"/>
          <w:u w:val="single"/>
        </w:rPr>
        <w:t>Ethane/Propane:</w:t>
      </w:r>
    </w:p>
    <w:p>
      <w:pPr>
        <w:pStyle w:val="Body"/>
        <w:ind w:start="0" w:end="0"/>
        <w:rPr>
          <w:color w:val="000000"/>
          <w:u w:val="single"/>
        </w:rPr>
      </w:pPr>
      <w:r>
        <w:rPr>
          <w:color w:val="000000"/>
          <w:u w:val="single"/>
        </w:rPr>
      </w:r>
    </w:p>
    <w:p>
      <w:pPr>
        <w:pStyle w:val="Body"/>
        <w:ind w:start="0" w:end="0"/>
        <w:rPr>
          <w:color w:val="000000"/>
        </w:rPr>
      </w:pPr>
      <w:r>
        <w:rPr>
          <w:color w:val="000000"/>
        </w:rPr>
      </w:r>
    </w:p>
    <w:p>
      <w:pPr>
        <w:pStyle w:val="Body"/>
        <w:ind w:start="0" w:end="0"/>
        <w:rPr>
          <w:color w:val="000000"/>
          <w:u w:val="single"/>
        </w:rPr>
      </w:pPr>
      <w:r>
        <w:rPr>
          <w:color w:val="000000"/>
          <w:u w:val="single"/>
        </w:rPr>
        <w:t>Weather:</w:t>
      </w:r>
    </w:p>
    <w:p>
      <w:pPr>
        <w:pStyle w:val="Body"/>
        <w:ind w:start="0" w:end="0"/>
        <w:rPr>
          <w:color w:val="000000"/>
          <w:u w:val="single"/>
        </w:rPr>
      </w:pPr>
      <w:r>
        <w:rPr>
          <w:color w:val="000000"/>
          <w:u w:val="single"/>
        </w:rPr>
      </w:r>
      <w:r>
        <w:br w:type="page"/>
      </w:r>
    </w:p>
    <w:p>
      <w:pPr>
        <w:pStyle w:val="Body"/>
        <w:ind w:start="0" w:end="0"/>
        <w:rPr>
          <w:color w:val="000000"/>
        </w:rPr>
      </w:pPr>
      <w:r>
        <w:rPr>
          <w:color w:val="000000"/>
        </w:rPr>
      </w:r>
    </w:p>
    <w:p>
      <w:pPr>
        <w:pStyle w:val="Body"/>
        <w:ind w:start="0" w:end="0"/>
        <w:rPr>
          <w:color w:val="000000"/>
        </w:rPr>
      </w:pPr>
      <w:r>
        <w:rPr>
          <w:color w:val="000000"/>
        </w:rPr>
      </w:r>
    </w:p>
    <w:p>
      <w:pPr>
        <w:pStyle w:val="Normal"/>
        <w:rPr>
          <w:color w:val="000000"/>
          <w:sz w:val="24"/>
        </w:rPr>
      </w:pPr>
      <w:r>
        <w:rPr>
          <w:color w:val="000000"/>
          <w:sz w:val="24"/>
        </w:rPr>
      </w:r>
    </w:p>
    <w:p>
      <w:pPr>
        <w:pStyle w:val="Normal"/>
        <w:rPr>
          <w:sz w:val="24"/>
        </w:rPr>
      </w:pPr>
      <w:r>
        <w:rPr>
          <w:sz w:val="24"/>
        </w:rPr>
        <w:t>Please carefully read each of the items below and sign and date where indicated:</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I have read and understand the foregoing Midwest Energy Hub, L.L.C. . Risk Management Policy</w:t>
      </w:r>
    </w:p>
    <w:p>
      <w:pPr>
        <w:pStyle w:val="Normal"/>
        <w:rPr>
          <w:sz w:val="24"/>
        </w:rPr>
      </w:pPr>
      <w:r>
        <w:rPr>
          <w:sz w:val="24"/>
        </w:rPr>
      </w:r>
    </w:p>
    <w:p>
      <w:pPr>
        <w:pStyle w:val="Normal"/>
        <w:numPr>
          <w:ilvl w:val="0"/>
          <w:numId w:val="2"/>
        </w:numPr>
        <w:rPr>
          <w:sz w:val="24"/>
        </w:rPr>
      </w:pPr>
      <w:r>
        <w:rPr>
          <w:sz w:val="24"/>
        </w:rPr>
        <w:t>I hereby agree to comply with all provisions of the Midwest Energy Hub, L.L.C. Risk Management Policy</w:t>
      </w:r>
    </w:p>
    <w:p>
      <w:pPr>
        <w:pStyle w:val="Normal"/>
        <w:rPr>
          <w:sz w:val="24"/>
        </w:rPr>
      </w:pPr>
      <w:r>
        <w:rPr>
          <w:sz w:val="24"/>
        </w:rPr>
      </w:r>
    </w:p>
    <w:p>
      <w:pPr>
        <w:pStyle w:val="Normal"/>
        <w:numPr>
          <w:ilvl w:val="0"/>
          <w:numId w:val="2"/>
        </w:numPr>
        <w:rPr>
          <w:sz w:val="24"/>
        </w:rPr>
      </w:pPr>
      <w:r>
        <w:rPr>
          <w:sz w:val="24"/>
        </w:rPr>
        <w:t>I acknowledge that I have read and understand the “Employee Trading” paragraph of Section VII. Miscellaneous of the Midwest Energy Hub, L.L.C. Risk Management Policy.</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financial instrument, security, financial asset or liability for the benefit of any party (whether for my own account or for the account of any third party) other than Midwest Energy Hub, L.L.C., where such commodity, financial instrument, security, financial asset or liability falls within my responsibility at Midwest Energy Hub, L.L.C..</w:t>
      </w:r>
    </w:p>
    <w:p>
      <w:pPr>
        <w:pStyle w:val="Normal"/>
        <w:rPr>
          <w:sz w:val="24"/>
        </w:rPr>
      </w:pPr>
      <w:r>
        <w:rPr>
          <w:sz w:val="24"/>
        </w:rPr>
      </w:r>
    </w:p>
    <w:p>
      <w:pPr>
        <w:pStyle w:val="Normal"/>
        <w:numPr>
          <w:ilvl w:val="0"/>
          <w:numId w:val="2"/>
        </w:numPr>
        <w:rPr>
          <w:sz w:val="24"/>
        </w:rPr>
      </w:pPr>
      <w:r>
        <w:rPr>
          <w:sz w:val="24"/>
        </w:rPr>
        <w:t xml:space="preserve">I hereby agree </w:t>
      </w:r>
      <w:r>
        <w:rPr>
          <w:sz w:val="24"/>
          <w:u w:val="single"/>
        </w:rPr>
        <w:t>not</w:t>
      </w:r>
      <w:r>
        <w:rPr>
          <w:sz w:val="24"/>
        </w:rPr>
        <w:t xml:space="preserve"> to engage in the trading of any commodity for the benefit of any party (whether for my own account or for the account of any third party) other than Midwest Energy Hub, L.L.C., where such commodity is included in the Appendix I of the Midwest Energy Hub, L.L.C. Risk Management Policy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tab/>
        <w:tab/>
        <w:tab/>
        <w:t>_______________</w:t>
      </w:r>
    </w:p>
    <w:p>
      <w:pPr>
        <w:pStyle w:val="Normal"/>
        <w:rPr>
          <w:sz w:val="24"/>
        </w:rPr>
      </w:pPr>
      <w:r>
        <w:rPr>
          <w:sz w:val="24"/>
        </w:rPr>
        <w:t>Signature</w:t>
        <w:tab/>
        <w:tab/>
        <w:tab/>
        <w:tab/>
        <w:tab/>
        <w:tab/>
        <w:t>Date</w:t>
      </w:r>
    </w:p>
    <w:p>
      <w:pPr>
        <w:pStyle w:val="Normal"/>
        <w:rPr>
          <w:sz w:val="24"/>
        </w:rPr>
      </w:pPr>
      <w:r>
        <w:rPr>
          <w:sz w:val="24"/>
        </w:rPr>
      </w:r>
    </w:p>
    <w:p>
      <w:pPr>
        <w:pStyle w:val="Normal"/>
        <w:rPr>
          <w:sz w:val="24"/>
        </w:rPr>
      </w:pPr>
      <w:r>
        <w:rPr>
          <w:sz w:val="24"/>
        </w:rPr>
      </w:r>
    </w:p>
    <w:p>
      <w:pPr>
        <w:pStyle w:val="Normal"/>
        <w:rPr>
          <w:sz w:val="24"/>
        </w:rPr>
      </w:pPr>
      <w:r>
        <w:rPr>
          <w:sz w:val="24"/>
        </w:rPr>
        <w:t>____________________________</w:t>
      </w:r>
    </w:p>
    <w:p>
      <w:pPr>
        <w:pStyle w:val="Normal"/>
        <w:rPr>
          <w:sz w:val="24"/>
        </w:rPr>
      </w:pPr>
      <w:r>
        <w:rPr>
          <w:sz w:val="24"/>
        </w:rPr>
        <w:t>Printed Name</w:t>
      </w:r>
    </w:p>
    <w:p>
      <w:pPr>
        <w:pStyle w:val="Body"/>
        <w:ind w:start="0" w:end="0"/>
        <w:rPr>
          <w:sz w:val="24"/>
        </w:rPr>
      </w:pPr>
      <w:r>
        <w:rPr>
          <w:sz w:val="24"/>
        </w:rPr>
      </w:r>
    </w:p>
    <w:sectPr>
      <w:headerReference w:type="default" r:id="rId6"/>
      <w:headerReference w:type="first" r:id="rId7"/>
      <w:footerReference w:type="default" r:id="rId8"/>
      <w:footerReference w:type="first" r:id="rId9"/>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/mnt/main-storage/datasets/enron-docs/doc/MEH_Risk_Policy__3.doc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/mnt/main-storage/datasets/enron-docs/doc/MEH_Risk_Policy__3.doc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/mnt/main-storage/datasets/enron-docs/doc/MEH_Risk_Policy__3.doc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/mnt/main-storage/datasets/enron-docs/doc/MEH_Risk_Policy__3.doc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6570" w:leader="none"/>
        <w:tab w:val="right" w:pos="9360" w:leader="none"/>
        <w:tab w:val="right" w:pos="14400" w:leader="none"/>
      </w:tabs>
      <w:rPr/>
    </w:pPr>
    <w:r>
      <w:rPr/>
      <w:t>MIDWEST ENERGY HUB, L.L.C.</w:t>
      <w:tab/>
      <w:tab/>
      <w:t>RISK MANAGEMENT POLICY</w:t>
      <w:tab/>
      <w:tab/>
      <w:t>Appendix III</w:t>
    </w:r>
  </w:p>
  <w:p>
    <w:pPr>
      <w:pStyle w:val="Header"/>
      <w:tabs>
        <w:tab w:val="clear" w:pos="4320"/>
        <w:tab w:val="clear" w:pos="8640"/>
        <w:tab w:val="center" w:pos="4680" w:leader="none"/>
        <w:tab w:val="left" w:pos="6570" w:leader="none"/>
        <w:tab w:val="right" w:pos="9360" w:leader="none"/>
        <w:tab w:val="right" w:pos="14400" w:leader="none"/>
      </w:tabs>
      <w:rPr/>
    </w:pPr>
    <w:r>
      <w:rPr/>
      <w:t>RISK MANAGEMENT POLICY</w:t>
      <w:tab/>
      <w:tab/>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p>
    <w:pPr>
      <w:pStyle w:val="Header"/>
      <w:tabs>
        <w:tab w:val="clear" w:pos="4320"/>
        <w:tab w:val="clear" w:pos="8640"/>
        <w:tab w:val="center" w:pos="4680" w:leader="none"/>
        <w:tab w:val="right" w:pos="9360" w:leader="none"/>
        <w:tab w:val="right" w:pos="14400" w:leader="none"/>
      </w:tabs>
      <w:rPr/>
    </w:pPr>
    <w:r>
      <w:rPr/>
    </w:r>
  </w:p>
  <w:p>
    <w:pPr>
      <w:pStyle w:val="Header"/>
      <w:tabs>
        <w:tab w:val="clear" w:pos="4320"/>
        <w:tab w:val="clear" w:pos="8640"/>
        <w:tab w:val="center" w:pos="4680" w:leader="none"/>
        <w:tab w:val="right" w:pos="9360" w:leader="none"/>
        <w:tab w:val="right" w:pos="1440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MIDWEST ENERGY HUB, L.L.C.</w:t>
    </w:r>
    <w:r>
      <w:rPr>
        <w:b/>
      </w:rPr>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the Board of Managers of Midwest Energy Hub, L.L.C.</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left" w:pos="3420" w:leader="none"/>
        <w:tab w:val="center" w:pos="4680" w:leader="none"/>
        <w:tab w:val="right" w:pos="9360" w:leader="none"/>
      </w:tabs>
      <w:rPr/>
    </w:pPr>
    <w:r>
      <w:rPr/>
      <w:tab/>
      <w:t>Approved:  __________, 2000</w:t>
    </w:r>
  </w:p>
  <w:p>
    <w:pPr>
      <w:pStyle w:val="Header"/>
      <w:tabs>
        <w:tab w:val="clear" w:pos="4320"/>
        <w:tab w:val="clear" w:pos="8640"/>
        <w:tab w:val="left" w:pos="3420" w:leader="none"/>
        <w:tab w:val="center" w:pos="4680" w:leader="none"/>
        <w:tab w:val="right" w:pos="9360"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6570" w:leader="none"/>
        <w:tab w:val="right" w:pos="9360" w:leader="none"/>
        <w:tab w:val="right" w:pos="14400" w:leader="none"/>
      </w:tabs>
      <w:rPr/>
    </w:pPr>
    <w:r>
      <w:rPr/>
      <w:t>MIDWEST ENERGY HUB, L.L.C.</w:t>
      <w:tab/>
      <w:tab/>
      <w:t>RISK MANAGEMENT POLICY</w:t>
      <w:tab/>
      <w:tab/>
      <w:t>Appendix III</w:t>
    </w:r>
  </w:p>
  <w:p>
    <w:pPr>
      <w:pStyle w:val="Header"/>
      <w:tabs>
        <w:tab w:val="clear" w:pos="4320"/>
        <w:tab w:val="clear" w:pos="8640"/>
        <w:tab w:val="center" w:pos="4680" w:leader="none"/>
        <w:tab w:val="left" w:pos="6570" w:leader="none"/>
        <w:tab w:val="right" w:pos="9360" w:leader="none"/>
        <w:tab w:val="right" w:pos="14400" w:leader="none"/>
      </w:tabs>
      <w:rPr/>
    </w:pPr>
    <w:r>
      <w:rPr/>
      <w:t>RISK MANAGEMENT POLICY</w:t>
      <w:tab/>
      <w:tab/>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p>
    <w:pPr>
      <w:pStyle w:val="Header"/>
      <w:tabs>
        <w:tab w:val="clear" w:pos="4320"/>
        <w:tab w:val="clear" w:pos="8640"/>
        <w:tab w:val="center" w:pos="4680" w:leader="none"/>
        <w:tab w:val="right" w:pos="9360" w:leader="none"/>
        <w:tab w:val="right" w:pos="14400" w:leader="none"/>
      </w:tabs>
      <w:rPr/>
    </w:pPr>
    <w:r>
      <w:rPr/>
    </w:r>
  </w:p>
  <w:p>
    <w:pPr>
      <w:pStyle w:val="Header"/>
      <w:tabs>
        <w:tab w:val="clear" w:pos="4320"/>
        <w:tab w:val="clear" w:pos="8640"/>
        <w:tab w:val="center" w:pos="4680" w:leader="none"/>
        <w:tab w:val="right" w:pos="9360" w:leader="none"/>
        <w:tab w:val="right" w:pos="1440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MIDWEST ENERGY HUB, LLC . </w:t>
      <w:tab/>
      <w:tab/>
      <w:t>Appendix 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tabs>
        <w:tab w:val="clear" w:pos="4320"/>
        <w:tab w:val="clear" w:pos="8640"/>
        <w:tab w:val="center" w:pos="7200" w:leader="none"/>
        <w:tab w:val="right" w:pos="14400" w:leader="none"/>
      </w:tabs>
      <w:rPr/>
    </w:pPr>
    <w:r>
      <w:rPr/>
    </w:r>
  </w:p>
  <w:p>
    <w:pPr>
      <w:pStyle w:val="Header"/>
      <w:tabs>
        <w:tab w:val="clear" w:pos="4320"/>
        <w:tab w:val="clear" w:pos="8640"/>
        <w:tab w:val="center" w:pos="7200" w:leader="none"/>
        <w:tab w:val="right" w:pos="14400" w:leader="none"/>
      </w:tabs>
      <w:rPr/>
    </w:pPr>
    <w:r>
      <w:rPr/>
      <w:t>TRADING LIMITS</w:t>
    </w:r>
  </w:p>
  <w:tbl>
    <w:tblPr>
      <w:tblW w:w="14238" w:type="dxa"/>
      <w:jc w:val="start"/>
      <w:tblInd w:w="0" w:type="dxa"/>
      <w:tblLayout w:type="fixed"/>
      <w:tblCellMar>
        <w:top w:w="0" w:type="dxa"/>
        <w:start w:w="108" w:type="dxa"/>
        <w:bottom w:w="0" w:type="dxa"/>
        <w:end w:w="108" w:type="dxa"/>
      </w:tblCellMar>
    </w:tblPr>
    <w:tblGrid>
      <w:gridCol w:w="3078"/>
      <w:gridCol w:w="3060"/>
      <w:gridCol w:w="1800"/>
      <w:gridCol w:w="3060"/>
      <w:gridCol w:w="144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0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06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4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Max Term</w:t>
          </w:r>
        </w:p>
      </w:tc>
    </w:tr>
  </w:tbl>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Letter"/>
      <w:lvlText w:val="%1."/>
      <w:lvlJc w:val="start"/>
      <w:pPr>
        <w:tabs>
          <w:tab w:val="num" w:pos="360"/>
        </w:tabs>
        <w:ind w:start="360" w:hanging="360"/>
      </w:pPr>
    </w:lvl>
  </w:abstractNum>
  <w:abstractNum w:abstractNumId="6">
    <w:lvl w:ilvl="0">
      <w:start w:val="3"/>
      <w:numFmt w:val="upperRoman"/>
      <w:lvlText w:val="%1."/>
      <w:lvlJc w:val="start"/>
      <w:pPr>
        <w:tabs>
          <w:tab w:val="num" w:pos="72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2"/>
        <w:numId w:val="1"/>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paragraph" w:styleId="Heading9">
    <w:name w:val="heading 9"/>
    <w:basedOn w:val="Normal"/>
    <w:next w:val="Normal"/>
    <w:qFormat/>
    <w:pPr>
      <w:keepNext w:val="true"/>
      <w:numPr>
        <w:ilvl w:val="8"/>
        <w:numId w:val="1"/>
      </w:numPr>
      <w:outlineLvl w:val="8"/>
    </w:pPr>
    <w:rPr>
      <w:color w:val="0000FF"/>
      <w:u w:val="single"/>
    </w:rPr>
  </w:style>
  <w:style w:type="character" w:styleId="WW8Num2z0">
    <w:name w:val="WW8Num2z0"/>
    <w:qFormat/>
    <w:rPr/>
  </w:style>
  <w:style w:type="character" w:styleId="WW8Num10z0">
    <w:name w:val="WW8Num10z0"/>
    <w:qFormat/>
    <w:rPr/>
  </w:style>
  <w:style w:type="character" w:styleId="WW8Num11z0">
    <w:name w:val="WW8Num11z0"/>
    <w:qFormat/>
    <w:rPr/>
  </w:style>
  <w:style w:type="character" w:styleId="WW8Num14z0">
    <w:name w:val="WW8Num14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7z0">
    <w:name w:val="WW8Num27z0"/>
    <w:qFormat/>
    <w:rPr/>
  </w:style>
  <w:style w:type="character" w:styleId="WW8Num28z0">
    <w:name w:val="WW8Num28z0"/>
    <w:qFormat/>
    <w:rPr/>
  </w:style>
  <w:style w:type="character" w:styleId="WW8Num30z0">
    <w:name w:val="WW8Num30z0"/>
    <w:qFormat/>
    <w:rPr/>
  </w:style>
  <w:style w:type="character" w:styleId="WW8Num37z0">
    <w:name w:val="WW8Num37z0"/>
    <w:qFormat/>
    <w:rPr/>
  </w:style>
  <w:style w:type="character" w:styleId="WW8Num38z0">
    <w:name w:val="WW8Num38z0"/>
    <w:qFormat/>
    <w:rPr/>
  </w:style>
  <w:style w:type="character" w:styleId="WW8Num40z0">
    <w:name w:val="WW8Num4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0" w:start="360" w:end="0"/>
    </w:pPr>
    <w:rPr/>
  </w:style>
  <w:style w:type="paragraph" w:styleId="BodyText2">
    <w:name w:val="Body Text 2"/>
    <w:basedOn w:val="Normal"/>
    <w:qFormat/>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2000-07-06T12:00:00Z</dcterms:created>
  <dc:creator>ECT</dc:creator>
  <dc:description>Incorporates comments from M Taylor and J Skilling</dc:description>
  <dc:language>en-CA</dc:language>
  <cp:lastModifiedBy>Kay Classen</cp:lastModifiedBy>
  <cp:lastPrinted>2000-07-06T15:30:00Z</cp:lastPrinted>
  <dcterms:modified xsi:type="dcterms:W3CDTF">2000-07-06T18:56:00Z</dcterms:modified>
  <cp:revision>8</cp:revision>
  <dc:subject/>
  <dc:title>ECT Risk Management Policy</dc:title>
</cp:coreProperties>
</file>