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This Risk Management Policy describes the guidelines for market risk control within Midwest Energy Hub,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Midwest Energy Hub, L.L.C. Limited Liability Company Agreement, dated April 26, 2000.</w:t>
      </w:r>
    </w:p>
    <w:p>
      <w:pPr>
        <w:pStyle w:val="Normal"/>
        <w:rPr/>
      </w:pPr>
      <w:r>
        <w:rPr/>
      </w:r>
    </w:p>
    <w:p>
      <w:pPr>
        <w:pStyle w:val="Heading3"/>
        <w:numPr>
          <w:ilvl w:val="0"/>
          <w:numId w:val="9"/>
        </w:numPr>
        <w:rPr/>
      </w:pPr>
      <w:r>
        <w:rPr/>
        <w:t>General Authorization</w:t>
      </w:r>
    </w:p>
    <w:p>
      <w:pPr>
        <w:pStyle w:val="Normal"/>
        <w:jc w:val="both"/>
        <w:rPr/>
      </w:pPr>
      <w:r>
        <w:rPr/>
      </w:r>
    </w:p>
    <w:p>
      <w:pPr>
        <w:pStyle w:val="Normal"/>
        <w:jc w:val="both"/>
        <w:rPr/>
      </w:pPr>
      <w:r>
        <w:rPr/>
        <w:t xml:space="preserve">Midwest Energy Hub, L.L.C., a Delaware Limited Liability Company, (“MEH”) is authorized to execute Transactions and manage these Transactions in support of its businesses.  </w:t>
      </w:r>
    </w:p>
    <w:p>
      <w:pPr>
        <w:pStyle w:val="Normal"/>
        <w:jc w:val="both"/>
        <w:rPr/>
      </w:pPr>
      <w:r>
        <w:rPr/>
      </w:r>
    </w:p>
    <w:p>
      <w:pPr>
        <w:pStyle w:val="Normal"/>
        <w:jc w:val="both"/>
        <w:rPr/>
      </w:pPr>
      <w:r>
        <w:rPr/>
        <w:t>All Transactions covered by this policy must be conducted in compliance with all MEH policies, including but not limited to the MEH Risk Procedures and Control Guidelines, as each may be amended, supplemented or restated from time to time by the Board of Managers of MEH (collectively the “MEH Policies”).</w:t>
      </w:r>
    </w:p>
    <w:p>
      <w:pPr>
        <w:pStyle w:val="Normal"/>
        <w:jc w:val="both"/>
        <w:rPr/>
      </w:pPr>
      <w:r>
        <w:rPr/>
      </w:r>
    </w:p>
    <w:p>
      <w:pPr>
        <w:pStyle w:val="Heading3"/>
        <w:numPr>
          <w:ilvl w:val="0"/>
          <w:numId w:val="9"/>
        </w:numPr>
        <w:rPr/>
      </w:pPr>
      <w:r>
        <w:rPr/>
        <w:t>Trading Portfolio</w:t>
      </w:r>
    </w:p>
    <w:p>
      <w:pPr>
        <w:pStyle w:val="Normal"/>
        <w:jc w:val="both"/>
        <w:rPr/>
      </w:pPr>
      <w:r>
        <w:rPr/>
      </w:r>
    </w:p>
    <w:p>
      <w:pPr>
        <w:pStyle w:val="Normal"/>
        <w:jc w:val="both"/>
        <w:rPr/>
      </w:pPr>
      <w:r>
        <w:rPr/>
        <w:t xml:space="preserve">Designated MEH representatives are authorized to enter into Transactions that create Positions for MEH within the limits specified herein in </w:t>
      </w:r>
      <w:r>
        <w:rPr>
          <w:u w:val="single"/>
        </w:rPr>
        <w:t>Appendix I</w:t>
      </w:r>
      <w:r>
        <w:rPr/>
        <w:t xml:space="preserve">. These Positions shall be managed in the MEH Trading Portfolio by the Commercial Development Manager for MEH.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MEH,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9"/>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MEH Board of Managers (the “Board”) is responsible for approval and oversight of risk management activities at MEH.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MEH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responsible for understanding the risks involved with the business practices of MEH and must be satisfied that the necessary controls, culture and procedures are in place to manage these risks.  Each Board Member is further responsible for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Georgia"/>
        </w:rPr>
      </w:pPr>
      <w:r>
        <w:rPr>
          <w:rFonts w:eastAsia="Book Antiqua;Georgia"/>
        </w:rPr>
        <w:t xml:space="preserve"> </w:t>
      </w:r>
    </w:p>
    <w:p>
      <w:pPr>
        <w:pStyle w:val="Normal"/>
        <w:numPr>
          <w:ilvl w:val="0"/>
          <w:numId w:val="5"/>
        </w:numPr>
        <w:tabs>
          <w:tab w:val="clear" w:pos="720"/>
          <w:tab w:val="left" w:pos="1080" w:leader="none"/>
        </w:tabs>
        <w:ind w:hanging="360" w:start="1080" w:end="0"/>
        <w:jc w:val="both"/>
        <w:rPr/>
      </w:pPr>
      <w:r>
        <w:rPr>
          <w:b/>
          <w:u w:val="single"/>
        </w:rPr>
        <w:t>MEH Risk Management Committee</w:t>
      </w:r>
      <w:r>
        <w:rPr/>
        <w:t xml:space="preserve">.  The Risk Committee is composed of two members of senior management, one from each Member Parent Company or its affiliates (see </w:t>
      </w:r>
      <w:r>
        <w:rPr>
          <w:u w:val="single"/>
        </w:rPr>
        <w:t>Appendix II</w:t>
      </w:r>
      <w:r>
        <w:rPr/>
        <w:t xml:space="preserve">).  </w:t>
      </w:r>
      <w:ins w:id="0" w:author="gpenman" w:date="2000-08-03T11:19:00Z">
        <w:r>
          <w:rPr/>
          <w:t xml:space="preserve">Enron </w:t>
        </w:r>
      </w:ins>
      <w:ins w:id="1" w:author="gpenman" w:date="2000-08-03T11:24:00Z">
        <w:r>
          <w:rPr/>
          <w:t>MW, L.L.C.’s Board Member will be responsible for appointing its Risk Committee Member.  Peoples Energy Corp.’s President will be responsible for appointing its Risk Committee Member.</w:t>
        </w:r>
      </w:ins>
      <w:del w:id="2" w:author="gpenman" w:date="2000-08-03T11:26:00Z">
        <w:r>
          <w:rPr/>
          <w:delText xml:space="preserve">Each Board Member will be responsible for appointing their respective Risk Committee Member in accordance with any relevant policies of each Member Parent Company. </w:delText>
        </w:r>
      </w:del>
      <w:r>
        <w:rPr/>
        <w:t xml:space="preserve"> References to the Risk Committee shall assume both members unless determined otherwise by the Risk Committee. The Risk Committee is responsible for oversight of the risk control environment for MEH including risk management procedures, measurements, stress testing, other internal controls, and the review of products and services outside the approved Risk Management Policy.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responsible for providing status reports concerning MEH’s overall risk profile and business activities to the Board quarterly or more frequently as warranted by market conditions, portfolio composition, risk profile or Board requests.</w:t>
      </w:r>
      <w:ins w:id="3" w:author="gpenman" w:date="2000-08-03T11:27:00Z">
        <w:r>
          <w:rPr/>
          <w:t xml:space="preserve">  The Risk Committee is responsible for notifying the Board of any known positions </w:t>
        </w:r>
      </w:ins>
      <w:ins w:id="4" w:author="gpenman" w:date="2000-08-03T11:34:00Z">
        <w:r>
          <w:rPr/>
          <w:t xml:space="preserve">or changes or trends in risk profiles </w:t>
        </w:r>
      </w:ins>
      <w:ins w:id="5" w:author="gpenman" w:date="2000-08-03T11:27:00Z">
        <w:r>
          <w:rPr/>
          <w:t xml:space="preserve">that it perceives to be excessively risky </w:t>
        </w:r>
      </w:ins>
      <w:ins w:id="6" w:author="gpenman" w:date="2000-08-03T11:35:00Z">
        <w:r>
          <w:rPr/>
          <w:t xml:space="preserve">or </w:t>
        </w:r>
      </w:ins>
      <w:ins w:id="7" w:author="gpenman" w:date="2000-08-03T11:27:00Z">
        <w:r>
          <w:rPr/>
          <w:t xml:space="preserve">that may not be captured by the </w:t>
        </w:r>
      </w:ins>
      <w:ins w:id="8" w:author="gpenman" w:date="2000-08-03T11:29:00Z">
        <w:r>
          <w:rPr/>
          <w:t xml:space="preserve">approved </w:t>
        </w:r>
      </w:ins>
      <w:ins w:id="9" w:author="gpenman" w:date="2000-08-03T11:27:00Z">
        <w:r>
          <w:rPr/>
          <w:t>limit structure</w:t>
        </w:r>
      </w:ins>
      <w:ins w:id="10" w:author="gpenman" w:date="2000-08-03T11:34:00Z">
        <w:r>
          <w:rPr/>
          <w:t>.</w:t>
        </w:r>
      </w:ins>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ins w:id="11" w:author="gpenman" w:date="2000-08-03T11:30:00Z">
        <w:r>
          <w:rPr/>
          <w:tab/>
        </w:r>
      </w:ins>
      <w:r>
        <w:rPr/>
        <w:t>The Risk Committee may allocate risk limits among individual traders or trading books, but cannot reduce pre-approved risk limits or approve material limit exceptions without the Board’s prior approval.  The Risk Committee is responsible for reviewing any limit violations.  It has the authority to immediately remove authorization to trade from any trader who is in violation</w:t>
      </w:r>
      <w:ins w:id="12" w:author="gpenman" w:date="2000-08-03T11:30:00Z">
        <w:r>
          <w:rPr/>
          <w:t>.</w:t>
        </w:r>
      </w:ins>
      <w:del w:id="13" w:author="gpenman" w:date="2000-08-03T11:30:00Z">
        <w:r>
          <w:rPr/>
          <w:delText xml:space="preserve"> or who the Risk Committee has reasonable expectation of being in violation. </w:delText>
        </w:r>
      </w:del>
      <w:r>
        <w:rPr/>
        <w:t xml:space="preserve"> The Risk Committee has authority to liquidate positions that are in violation of stated limits.</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is responsible for understanding the valuation process and risk position.  It is responsible for reviewing and understanding all risk measurement methodologies to ensure that the Risk Committee and the Board have an </w:t>
      </w:r>
      <w:del w:id="14" w:author="gpenman" w:date="2000-08-03T11:30:00Z">
        <w:r>
          <w:rPr/>
          <w:delText xml:space="preserve">accurate </w:delText>
        </w:r>
      </w:del>
      <w:ins w:id="15" w:author="gpenman" w:date="2000-08-03T11:30:00Z">
        <w:r>
          <w:rPr/>
          <w:t xml:space="preserve">adequate </w:t>
        </w:r>
      </w:ins>
      <w:r>
        <w:rPr/>
        <w:t>assessment of market risk.  Any changes in risk measurement methodologies or Risk Procedures and Control Guidelines will be reported to the Risk Committee and the Board pursuant to Section 6.1.6 of the Midwest Energy Hub,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granted to the Risk Committee must have the unanimous written consent of the members. Unresolved issues will be taken to the Board of Managers for final decision. In their absence, each Risk Committee member will delegate their responsibilities.</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responsible for aggregating positions and risk exposures and ensuring that daily position and risk reports are generated and distributed to the Risk Committee and the Board.  The CRO is responsible to ensure that the daily position and risk report exhibits all pricing components used to determine the mark to markets, net position, cumulative losses, results from stress tests, VaR, and other risk analytic tests as required by the Risk </w:t>
      </w:r>
      <w:del w:id="16" w:author="gpenman" w:date="2000-08-03T11:32:00Z">
        <w:r>
          <w:rPr/>
          <w:delText xml:space="preserve">Management </w:delText>
        </w:r>
      </w:del>
      <w:r>
        <w:rPr/>
        <w:t>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responsible to monitor any changes or trends in risk profile as determined by limit usages and report back to the Risk Committee.  The CRO is responsible for monitoring position limits and violations daily to ensure compliance with this policy.  It is required to report any limit violations immediately to the Risk Management Committee and the Board of Managers.</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responsible for reporting any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MEH trading activities are subject to a combination of limits.  These limits include, but are not limited to, Net Open Position, Maturity/Gap Risk, and Potential Exposure limits and Loss notifications, as appropriate for the type of business activity under consideration.</w:t>
      </w:r>
    </w:p>
    <w:p>
      <w:pPr>
        <w:pStyle w:val="Normal"/>
        <w:jc w:val="both"/>
        <w:rPr/>
      </w:pPr>
      <w:r>
        <w:rPr/>
      </w:r>
    </w:p>
    <w:p>
      <w:pPr>
        <w:pStyle w:val="BodyText"/>
        <w:keepNext w:val="false"/>
        <w:rPr/>
      </w:pPr>
      <w:r>
        <w:rPr/>
        <w:t>The following Limits will be utilized:</w:t>
      </w:r>
    </w:p>
    <w:p>
      <w:pPr>
        <w:pStyle w:val="Normal"/>
        <w:jc w:val="both"/>
        <w:rPr/>
      </w:pPr>
      <w:r>
        <w:rPr/>
      </w:r>
    </w:p>
    <w:p>
      <w:pPr>
        <w:pStyle w:val="Normal"/>
        <w:numPr>
          <w:ilvl w:val="0"/>
          <w:numId w:val="10"/>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MEH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Normal"/>
        <w:numPr>
          <w:ilvl w:val="0"/>
          <w:numId w:val="10"/>
        </w:numPr>
        <w:tabs>
          <w:tab w:val="clear" w:pos="720"/>
          <w:tab w:val="left" w:pos="1080" w:leader="none"/>
        </w:tabs>
        <w:ind w:hanging="360" w:start="1080" w:end="0"/>
        <w:rPr>
          <w:b/>
        </w:rPr>
      </w:pPr>
      <w:del w:id="17" w:author="gpenman" w:date="2000-08-03T11:37:00Z">
        <w:r>
          <w:rPr/>
          <w:delText>B.</w:delText>
          <w:tab/>
        </w:r>
      </w:del>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w:t>
      </w:r>
    </w:p>
    <w:p>
      <w:pPr>
        <w:pStyle w:val="BodyTextIndent3"/>
        <w:tabs>
          <w:tab w:val="clear" w:pos="720"/>
          <w:tab w:val="left" w:pos="1080" w:leader="none"/>
        </w:tabs>
        <w:ind w:start="1080" w:end="0"/>
        <w:rPr>
          <w:del w:id="19" w:author="gpenman" w:date="2000-08-03T11:40:00Z"/>
        </w:rPr>
      </w:pPr>
      <w:del w:id="18" w:author="gpenman" w:date="2000-08-03T11:40:00Z">
        <w:r>
          <w:rPr/>
          <w:delText>Gap limits will be applicable for the NYMEX, index, and basis books.  The gap structure for the NYMEX book will be daily for the next 10 days, weekly for the subsequent four weeks, monthly for the subsequent two years, quarterly for the subsequent time periods. [is this correct?]</w:delText>
        </w:r>
      </w:del>
    </w:p>
    <w:p>
      <w:pPr>
        <w:pStyle w:val="BodyTextIndent3"/>
        <w:tabs>
          <w:tab w:val="clear" w:pos="720"/>
          <w:tab w:val="left" w:pos="1080" w:leader="none"/>
        </w:tabs>
        <w:ind w:hanging="360" w:start="1080" w:end="0"/>
        <w:rPr/>
      </w:pPr>
      <w:r>
        <w:rPr/>
      </w:r>
    </w:p>
    <w:p>
      <w:pPr>
        <w:pStyle w:val="BodyTextIndent3"/>
        <w:tabs>
          <w:tab w:val="clear" w:pos="720"/>
          <w:tab w:val="left" w:pos="1080" w:leader="none"/>
        </w:tabs>
        <w:ind w:start="1080" w:end="0"/>
        <w:rPr/>
      </w:pPr>
      <w:r>
        <w:rPr/>
        <w:t xml:space="preserve">MEH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10"/>
        </w:numPr>
        <w:tabs>
          <w:tab w:val="clear" w:pos="720"/>
          <w:tab w:val="left" w:pos="1080" w:leader="none"/>
        </w:tabs>
        <w:ind w:hanging="360" w:start="1080" w:end="0"/>
        <w:jc w:val="both"/>
        <w:rPr/>
      </w:pPr>
      <w:r>
        <w:rPr>
          <w:b/>
          <w:u w:val="single"/>
        </w:rPr>
        <w:t>Value-at-Risk and other Potential Exposure Limits</w:t>
      </w:r>
      <w:r>
        <w:rPr/>
        <w:t xml:space="preserve">.  MEH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MEH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10"/>
        </w:numPr>
        <w:tabs>
          <w:tab w:val="clear" w:pos="720"/>
          <w:tab w:val="left" w:pos="1080" w:leader="none"/>
        </w:tabs>
        <w:ind w:hanging="360" w:start="1080" w:end="0"/>
        <w:rPr/>
      </w:pPr>
      <w:r>
        <w:rPr>
          <w:b/>
          <w:u w:val="single"/>
        </w:rPr>
        <w:t>Loss limits</w:t>
      </w:r>
      <w:r>
        <w:rPr/>
        <w:t>.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MEH activities are subject to daily, five-day cumulative and annual loss limits as determined by the Risk Committee.</w:t>
      </w:r>
      <w:del w:id="20" w:author="gpenman" w:date="2000-08-03T11:43:00Z">
        <w:r>
          <w:rPr/>
          <w:delText xml:space="preserve">  </w:delText>
        </w:r>
      </w:del>
      <w:del w:id="21" w:author="gpenman" w:date="2000-08-03T11:41:00Z">
        <w:r>
          <w:rPr/>
          <w:delText>Compliance with this limit is calculated each day by the gains and losses of all settled physical and non-physical transactions plus the gains and losses of all open positions of physical and non-physical transactions.</w:delText>
        </w:r>
      </w:del>
    </w:p>
    <w:p>
      <w:pPr>
        <w:pStyle w:val="Normal"/>
        <w:tabs>
          <w:tab w:val="clear" w:pos="720"/>
          <w:tab w:val="left" w:pos="1080" w:leader="none"/>
        </w:tabs>
        <w:ind w:hanging="360" w:start="1080" w:end="0"/>
        <w:rPr>
          <w:u w:val="single"/>
        </w:rPr>
      </w:pPr>
      <w:r>
        <w:rPr>
          <w:u w:val="single"/>
        </w:rPr>
      </w:r>
    </w:p>
    <w:p>
      <w:pPr>
        <w:pStyle w:val="Normal"/>
        <w:numPr>
          <w:ilvl w:val="0"/>
          <w:numId w:val="10"/>
        </w:numPr>
        <w:tabs>
          <w:tab w:val="clear" w:pos="720"/>
          <w:tab w:val="left" w:pos="1080" w:leader="none"/>
        </w:tabs>
        <w:ind w:hanging="360" w:start="1080" w:end="0"/>
        <w:jc w:val="both"/>
        <w:rPr/>
      </w:pPr>
      <w:r>
        <w:rPr>
          <w:b/>
          <w:u w:val="single"/>
        </w:rPr>
        <w:t>Regulated Exchange Lim</w:t>
      </w:r>
      <w:r>
        <w:rPr>
          <w:b/>
        </w:rPr>
        <w:t>its</w:t>
      </w:r>
      <w:r>
        <w:rPr/>
        <w:t>.  MEH may be subject to limits imposed by regulated exchanges on which they transact.  MEH shall comply with any such limits imposed on them, as such limits may be modified from time to time.</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must report all net open position, maturity/gap, loss, and potential exposure limit violations to the Board and the Risk Committee.  The Risk Committee has the authority to liquidate positions that are out of compliance or recommend a course of action to the Board based on the nature of the position, market conditions, and other circumstances.  The Risk Committee has the authority to maintain any position that has exceeded a trader’s individual limit if the position is in compliance with all other operable limits.  The Risk Committee has the authority to suspend the trading authority of any trader in limit violation.</w:t>
      </w:r>
    </w:p>
    <w:p>
      <w:pPr>
        <w:pStyle w:val="Normal"/>
        <w:jc w:val="both"/>
        <w:rPr>
          <w:rFonts w:eastAsia="Book Antiqua;Georgia"/>
        </w:rPr>
      </w:pPr>
      <w:r>
        <w:rPr>
          <w:rFonts w:eastAsia="Book Antiqua;Georgia"/>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MEH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aggregate Daily Loss or the Daily Loss in any Commodity Group or Portfolio is equal to or in excess of 50% of the respective VAR limit as approved by the Board, the CRO shall promptly communicate the occurrence to the Risk Committee and the Board. If at any time the Daily Loss for all Commodity Groups in the aggregate is equal to or in excess of 75% of the respective VAR limit as approved by the Board, the CRO shall promptly communicate the occurrence to the Risk Committee and the Board.</w:t>
      </w:r>
      <w:del w:id="22" w:author="gpenman" w:date="2000-08-03T12:38:00Z">
        <w:r>
          <w:rPr/>
          <w:delText xml:space="preserve"> [any higher authority?]</w:delText>
        </w:r>
      </w:del>
    </w:p>
    <w:p>
      <w:pPr>
        <w:pStyle w:val="Normal"/>
        <w:keepNext w:val="true"/>
        <w:ind w:start="1440" w:end="0"/>
        <w:jc w:val="both"/>
        <w:rPr/>
      </w:pPr>
      <w:r>
        <w:rPr/>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Cumulative Loss for all Commodity Groups in the aggregate is equal to or in excess of the respective VAR limit as approved by the Board, the CRO shall promptly communicate the occurrence to the Risk Committee and the Board.</w:t>
      </w:r>
      <w:del w:id="23" w:author="gpenman" w:date="2000-08-03T12:38:00Z">
        <w:r>
          <w:rPr/>
          <w:delText xml:space="preserve"> [any higher authority?]</w:delText>
        </w:r>
      </w:del>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ins w:id="24" w:author="gpenman" w:date="2000-08-03T12:45:00Z">
        <w:r>
          <w:rPr/>
          <w:t>The Risk Committee may approve r</w:t>
        </w:r>
      </w:ins>
      <w:del w:id="25" w:author="gpenman" w:date="2000-08-03T12:38:00Z">
        <w:r>
          <w:rPr/>
          <w:delText xml:space="preserve">Limit excesses are reported daily to the Board and the Risk Committee.  </w:delText>
        </w:r>
      </w:del>
      <w:del w:id="26" w:author="gpenman" w:date="2000-08-03T12:46:00Z">
        <w:r>
          <w:rPr/>
          <w:delText>R</w:delText>
        </w:r>
      </w:del>
      <w:r>
        <w:rPr/>
        <w:t xml:space="preserve">equests for limit exceptions prior to trading by any </w:t>
      </w:r>
      <w:ins w:id="27" w:author="gpenman" w:date="2000-08-03T12:40:00Z">
        <w:r>
          <w:rPr/>
          <w:t>individual trader or within a trading book</w:t>
        </w:r>
      </w:ins>
      <w:del w:id="28" w:author="gpenman" w:date="2000-08-03T12:40:00Z">
        <w:r>
          <w:rPr/>
          <w:delText>trading area</w:delText>
        </w:r>
      </w:del>
      <w:r>
        <w:rPr/>
        <w:t xml:space="preserve"> </w:t>
      </w:r>
      <w:del w:id="29" w:author="gpenman" w:date="2000-08-03T12:46:00Z">
        <w:r>
          <w:rPr/>
          <w:delText xml:space="preserve">may be approved by the </w:delText>
        </w:r>
      </w:del>
      <w:del w:id="30" w:author="gpenman" w:date="2000-08-03T12:42:00Z">
        <w:r>
          <w:rPr/>
          <w:delText xml:space="preserve">MEH </w:delText>
        </w:r>
      </w:del>
      <w:del w:id="31" w:author="gpenman" w:date="2000-08-03T12:46:00Z">
        <w:r>
          <w:rPr/>
          <w:delText>Risk</w:delText>
        </w:r>
      </w:del>
      <w:del w:id="32" w:author="gpenman" w:date="2000-08-03T12:42:00Z">
        <w:r>
          <w:rPr/>
          <w:delText xml:space="preserve"> Management</w:delText>
        </w:r>
      </w:del>
      <w:del w:id="33" w:author="gpenman" w:date="2000-08-03T12:46:00Z">
        <w:r>
          <w:rPr/>
          <w:delText xml:space="preserve"> Committee </w:delText>
        </w:r>
      </w:del>
      <w:del w:id="34" w:author="gpenman" w:date="2000-08-03T12:44:00Z">
        <w:r>
          <w:rPr/>
          <w:delText xml:space="preserve">within a predetermined amount as </w:delText>
        </w:r>
      </w:del>
      <w:ins w:id="35" w:author="gpenman" w:date="2000-08-03T12:44:00Z">
        <w:r>
          <w:rPr/>
          <w:t xml:space="preserve">as </w:t>
        </w:r>
      </w:ins>
      <w:r>
        <w:rPr/>
        <w:t>long as the aggregate VaR limi</w:t>
      </w:r>
      <w:ins w:id="36" w:author="gpenman" w:date="2000-08-03T12:46:00Z">
        <w:r>
          <w:rPr/>
          <w:t>t</w:t>
        </w:r>
      </w:ins>
      <w:del w:id="37" w:author="gpenman" w:date="2000-08-03T12:44:00Z">
        <w:r>
          <w:rPr/>
          <w:delText>t for that book</w:delText>
        </w:r>
      </w:del>
      <w:r>
        <w:rPr/>
        <w:t xml:space="preserve"> has not been breached.  Each request for a limit exception must be accompanied with a strategy developed by the </w:t>
      </w:r>
      <w:ins w:id="38" w:author="gpenman" w:date="2000-08-03T12:47:00Z">
        <w:r>
          <w:rPr/>
          <w:t>Commercial Development Manager</w:t>
        </w:r>
      </w:ins>
      <w:del w:id="39" w:author="gpenman" w:date="2000-08-03T12:47:00Z">
        <w:r>
          <w:rPr/>
          <w:delText>head trader</w:delText>
        </w:r>
      </w:del>
      <w:r>
        <w:rPr/>
        <w:t xml:space="preserve"> that will bring the desk back into compliance within </w:t>
      </w:r>
      <w:ins w:id="40" w:author="gpenman" w:date="2000-08-03T12:47:00Z">
        <w:r>
          <w:rPr/>
          <w:t xml:space="preserve">the </w:t>
        </w:r>
      </w:ins>
      <w:r>
        <w:rPr/>
        <w:t>Risk Management policy.  The limit excess report will document the approved violation on each day going forward until the position is back in compliance.  The Risk Committee will oversee the implementation of the approved trading strategy.</w:t>
      </w:r>
      <w:del w:id="41" w:author="gpenman" w:date="2000-08-03T12:39:00Z">
        <w:r>
          <w:rPr/>
          <w:delText xml:space="preserve">    </w:delText>
        </w:r>
      </w:del>
    </w:p>
    <w:p>
      <w:pPr>
        <w:pStyle w:val="Normal"/>
        <w:rPr>
          <w:i/>
          <w:i/>
        </w:rPr>
      </w:pPr>
      <w:r>
        <w:rPr>
          <w:i/>
        </w:rPr>
      </w:r>
    </w:p>
    <w:p>
      <w:pPr>
        <w:pStyle w:val="Header"/>
        <w:tabs>
          <w:tab w:val="clear" w:pos="4320"/>
          <w:tab w:val="clear" w:pos="8640"/>
        </w:tabs>
        <w:rPr>
          <w:b/>
          <w:del w:id="43" w:author="gpenman" w:date="2000-08-03T12:48:00Z"/>
        </w:rPr>
      </w:pPr>
      <w:del w:id="42" w:author="gpenman" w:date="2000-08-03T12:48:00Z">
        <w:r>
          <w:rPr>
            <w:b/>
          </w:rPr>
          <w:delText>VIII.  Transaction Price Validation</w:delText>
        </w:r>
      </w:del>
    </w:p>
    <w:p>
      <w:pPr>
        <w:pStyle w:val="Normal"/>
        <w:rPr>
          <w:b/>
          <w:del w:id="45" w:author="gpenman" w:date="2000-08-03T12:48:00Z"/>
        </w:rPr>
      </w:pPr>
      <w:del w:id="44" w:author="gpenman" w:date="2000-08-03T12:48:00Z">
        <w:r>
          <w:rPr>
            <w:b/>
          </w:rPr>
        </w:r>
      </w:del>
    </w:p>
    <w:p>
      <w:pPr>
        <w:pStyle w:val="Normal"/>
        <w:rPr>
          <w:del w:id="47" w:author="gpenman" w:date="2000-08-03T12:48:00Z"/>
        </w:rPr>
      </w:pPr>
      <w:del w:id="46" w:author="gpenman" w:date="2000-08-03T12:48:00Z">
        <w:r>
          <w:rPr/>
          <w:delText xml:space="preserve">All structured transactions in excess of $X are required to have independent price validation from outside sources no more than one business day prior to deal execution.  </w:delText>
        </w:r>
      </w:del>
    </w:p>
    <w:p>
      <w:pPr>
        <w:pStyle w:val="Normal"/>
        <w:ind w:firstLine="720" w:end="0"/>
        <w:rPr>
          <w:del w:id="49" w:author="gpenman" w:date="2000-08-03T12:48:00Z"/>
        </w:rPr>
      </w:pPr>
      <w:del w:id="48" w:author="gpenman" w:date="2000-08-03T12:48:00Z">
        <w:r>
          <w:rPr/>
        </w:r>
      </w:del>
    </w:p>
    <w:p>
      <w:pPr>
        <w:pStyle w:val="Header"/>
        <w:ind w:hanging="0" w:start="0"/>
        <w:rPr/>
      </w:pPr>
      <w:ins w:id="50" w:author="gpenman" w:date="2000-08-03T12:48:00Z">
        <w:r>
          <w:rPr/>
          <w:t>VII</w:t>
        </w:r>
      </w:ins>
      <w:del w:id="51" w:author="gpenman" w:date="2000-08-03T12:48:00Z">
        <w:r>
          <w:rPr/>
          <w:delText>I</w:delText>
        </w:r>
      </w:del>
      <w:ins w:id="52" w:author="gpenman" w:date="2000-08-03T12:48:00Z">
        <w:r>
          <w:rPr/>
          <w:t>I</w:t>
        </w:r>
      </w:ins>
      <w:del w:id="53" w:author="gpenman" w:date="2000-08-03T12:48:00Z">
        <w:r>
          <w:rPr/>
          <w:delText>X</w:delText>
        </w:r>
      </w:del>
      <w:r>
        <w:rPr/>
        <w:t>.  Operations and Controls</w:t>
      </w:r>
    </w:p>
    <w:p>
      <w:pPr>
        <w:pStyle w:val="Normal"/>
        <w:jc w:val="both"/>
        <w:rPr/>
      </w:pPr>
      <w:r>
        <w:rPr/>
      </w:r>
    </w:p>
    <w:p>
      <w:pPr>
        <w:pStyle w:val="Normal"/>
        <w:numPr>
          <w:ilvl w:val="0"/>
          <w:numId w:val="11"/>
        </w:numPr>
        <w:jc w:val="both"/>
        <w:rPr/>
      </w:pPr>
      <w:r>
        <w:rPr>
          <w:b/>
          <w:u w:val="single"/>
        </w:rPr>
        <w:t>Segregation of Duties</w:t>
      </w:r>
      <w:r>
        <w:rPr>
          <w:b/>
        </w:rPr>
        <w:t>.</w:t>
      </w:r>
      <w:r>
        <w:rPr/>
        <w:t xml:space="preserve">  MEH business groups or individuals entering into Transactions will be segregated from each of the following activities: recording and aggregation of Transactions; preparation, issuance and verification of MEH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1"/>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ind w:hanging="360" w:start="1080" w:end="0"/>
        <w:jc w:val="both"/>
        <w:rPr/>
      </w:pPr>
      <w:r>
        <w:rPr>
          <w:b/>
        </w:rPr>
        <w:t xml:space="preserve">C.  </w:t>
      </w:r>
      <w:r>
        <w:rPr>
          <w:b/>
          <w:u w:val="single"/>
        </w:rPr>
        <w:t>Transaction Approvals</w:t>
      </w:r>
      <w:r>
        <w:rPr>
          <w:b/>
        </w:rPr>
        <w:t>.</w:t>
      </w:r>
      <w:r>
        <w:rPr/>
        <w:t xml:space="preserve">  Only those employees designated by the Board will be authorized to enter into Transactions on behalf of MEH.  The Board</w:t>
      </w:r>
      <w:r>
        <w:rPr>
          <w:color w:val="000000"/>
        </w:rPr>
        <w:t xml:space="preserve"> must also approve and maintain a record of those employees responsible for the individual Commodity Groups as specified in </w:t>
      </w:r>
      <w:r>
        <w:rPr>
          <w:color w:val="000000"/>
          <w:u w:val="single"/>
        </w:rPr>
        <w:t>Appendix I</w:t>
      </w:r>
      <w:r>
        <w:rPr>
          <w:color w:val="000000"/>
        </w:rPr>
        <w:t>.</w:t>
      </w:r>
      <w:r>
        <w:rPr/>
        <w:t xml:space="preserve">  All Transactions must be in compliance with all applicable policies of MEH</w:t>
      </w:r>
      <w:ins w:id="54" w:author="gpenman" w:date="2000-08-03T12:51:00Z">
        <w:r>
          <w:rPr/>
          <w:t>, including the Midwest Energy Hub, L.L.C. Limited Liability Company Agreement,</w:t>
        </w:r>
      </w:ins>
      <w:r>
        <w:rPr/>
        <w:t xml:space="preserve"> and each respective Member Parent Company prevailing at the time the Transactions are contemplated. </w:t>
      </w:r>
    </w:p>
    <w:p>
      <w:pPr>
        <w:pStyle w:val="Normal"/>
        <w:ind w:start="720" w:end="0"/>
        <w:jc w:val="both"/>
        <w:rPr/>
      </w:pPr>
      <w:r>
        <w:rPr/>
      </w:r>
    </w:p>
    <w:p>
      <w:pPr>
        <w:pStyle w:val="Normal"/>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I</w:t>
      </w:r>
      <w:ins w:id="55" w:author="gpenman" w:date="2000-08-03T12:52:00Z">
        <w:r>
          <w:rPr/>
          <w:t>V</w:t>
        </w:r>
      </w:ins>
      <w:del w:id="56" w:author="gpenman" w:date="2000-08-03T12:52:00Z">
        <w:r>
          <w:rPr/>
          <w:delText>II</w:delText>
        </w:r>
      </w:del>
      <w:r>
        <w:rPr/>
        <w:t>A., all Positions within a Commodity Group shall be aggregated into a reference Benchmark Position assigned to each group.</w:t>
      </w:r>
    </w:p>
    <w:p>
      <w:pPr>
        <w:pStyle w:val="Normal"/>
        <w:ind w:start="720" w:end="0"/>
        <w:jc w:val="both"/>
        <w:rPr/>
      </w:pPr>
      <w:r>
        <w:rPr/>
      </w:r>
    </w:p>
    <w:p>
      <w:pPr>
        <w:pStyle w:val="Normal"/>
        <w:tabs>
          <w:tab w:val="clear" w:pos="720"/>
          <w:tab w:val="left" w:pos="1080" w:leader="none"/>
        </w:tabs>
        <w:ind w:hanging="360" w:start="1080" w:end="0"/>
        <w:jc w:val="both"/>
        <w:rPr/>
      </w:pPr>
      <w:r>
        <w:rPr>
          <w:b/>
        </w:rPr>
        <w:t>E.</w:t>
      </w:r>
      <w:del w:id="57" w:author="gpenman" w:date="2000-08-03T12:52:00Z">
        <w:r>
          <w:rPr>
            <w:b/>
          </w:rPr>
          <w:delText xml:space="preserve"> </w:delText>
        </w:r>
      </w:del>
      <w:r>
        <w:rPr>
          <w:b/>
        </w:rPr>
        <w:t xml:space="preserve"> </w:t>
      </w:r>
      <w:ins w:id="58" w:author="gpenman" w:date="2000-08-03T12:53:00Z">
        <w:r>
          <w:rPr>
            <w:b/>
          </w:rPr>
          <w:t xml:space="preserve"> </w:t>
        </w:r>
      </w:ins>
      <w:del w:id="59" w:author="gpenman" w:date="2000-08-03T12:52:00Z">
        <w:r>
          <w:rPr/>
          <w:delText xml:space="preserve"> </w:delText>
        </w:r>
      </w:del>
      <w:r>
        <w:rPr>
          <w:b/>
          <w:u w:val="single"/>
        </w:rPr>
        <w:t xml:space="preserve">Cash </w:t>
      </w:r>
      <w:del w:id="60" w:author="gpenman" w:date="2000-08-03T12:53:00Z">
        <w:r>
          <w:rPr>
            <w:b/>
            <w:u w:val="single"/>
          </w:rPr>
          <w:delText>M</w:delText>
        </w:r>
      </w:del>
      <w:ins w:id="61" w:author="gpenman" w:date="2000-08-03T12:53:00Z">
        <w:r>
          <w:rPr>
            <w:b/>
            <w:u w:val="single"/>
          </w:rPr>
          <w:t>M</w:t>
        </w:r>
      </w:ins>
      <w:r>
        <w:rPr>
          <w:b/>
          <w:u w:val="single"/>
        </w:rPr>
        <w:t>anager</w:t>
      </w:r>
      <w:r>
        <w:rPr/>
        <w:t xml:space="preserve">. </w:t>
      </w:r>
      <w:del w:id="62" w:author="gpenman" w:date="2000-08-03T12:52:00Z">
        <w:r>
          <w:rPr/>
          <w:delText xml:space="preserve"> The cash manager has authority and responsibility to handle cash disbursements for the payment of trades, settlements, margins, etc.  </w:delText>
        </w:r>
      </w:del>
      <w:r>
        <w:rPr/>
        <w:t xml:space="preserve">All cash disbursements, collections, </w:t>
      </w:r>
      <w:ins w:id="63" w:author="gpenman" w:date="2000-08-03T12:53:00Z">
        <w:r>
          <w:rPr/>
          <w:t xml:space="preserve">and invoicing </w:t>
        </w:r>
      </w:ins>
      <w:r>
        <w:rPr/>
        <w:t xml:space="preserve">will be done in accordance with the </w:t>
      </w:r>
      <w:ins w:id="64" w:author="gpenman" w:date="2000-08-03T12:53:00Z">
        <w:r>
          <w:rPr/>
          <w:t>Risk Procedures and Control Guidelines</w:t>
        </w:r>
      </w:ins>
      <w:del w:id="65" w:author="gpenman" w:date="2000-08-03T12:54:00Z">
        <w:r>
          <w:rPr/>
          <w:delText>MEH Transaction Process Flow policy</w:delText>
        </w:r>
      </w:del>
      <w:r>
        <w:rPr/>
        <w:t>.</w:t>
      </w:r>
    </w:p>
    <w:p>
      <w:pPr>
        <w:pStyle w:val="Normal"/>
        <w:jc w:val="both"/>
        <w:rPr>
          <w:i/>
          <w:i/>
          <w:del w:id="67" w:author="gpenman" w:date="2000-08-03T12:54:00Z"/>
        </w:rPr>
      </w:pPr>
      <w:del w:id="66" w:author="gpenman" w:date="2000-08-03T12:54:00Z">
        <w:r>
          <w:rPr>
            <w:i/>
          </w:rPr>
        </w:r>
      </w:del>
    </w:p>
    <w:p>
      <w:pPr>
        <w:pStyle w:val="Normal"/>
        <w:tabs>
          <w:tab w:val="clear" w:pos="720"/>
          <w:tab w:val="left" w:pos="1080" w:leader="none"/>
        </w:tabs>
        <w:ind w:hanging="360" w:start="1080" w:end="0"/>
        <w:jc w:val="both"/>
        <w:rPr>
          <w:del w:id="73" w:author="gpenman" w:date="2000-08-03T12:54:00Z"/>
        </w:rPr>
      </w:pPr>
      <w:del w:id="68" w:author="gpenman" w:date="2000-08-03T12:50:00Z">
        <w:r>
          <w:rPr>
            <w:i/>
          </w:rPr>
          <w:tab/>
        </w:r>
      </w:del>
      <w:del w:id="69" w:author="gpenman" w:date="2000-08-03T12:54:00Z">
        <w:r>
          <w:rPr>
            <w:b/>
          </w:rPr>
          <w:delText xml:space="preserve">F.  </w:delText>
        </w:r>
      </w:del>
      <w:del w:id="70" w:author="gpenman" w:date="2000-08-03T12:54:00Z">
        <w:r>
          <w:rPr>
            <w:b/>
            <w:u w:val="single"/>
          </w:rPr>
          <w:delText>System Downloads</w:delText>
        </w:r>
      </w:del>
      <w:del w:id="71" w:author="gpenman" w:date="2000-08-03T12:54:00Z">
        <w:r>
          <w:rPr>
            <w:b/>
          </w:rPr>
          <w:delText>.</w:delText>
        </w:r>
      </w:del>
      <w:del w:id="72" w:author="gpenman" w:date="2000-08-03T12:54:00Z">
        <w:r>
          <w:rPr/>
          <w:delText xml:space="preserve">  Any member of the Risk Committee or PEC internal audit team assigned to MEH is authorized to request and receive a download or detailed list of all MEH transactions and open positions.</w:delText>
        </w:r>
      </w:del>
    </w:p>
    <w:p>
      <w:pPr>
        <w:pStyle w:val="Normal"/>
        <w:widowControl/>
        <w:tabs>
          <w:tab w:val="clear" w:pos="720"/>
          <w:tab w:val="left" w:pos="1080" w:leader="none"/>
        </w:tabs>
        <w:bidi w:val="0"/>
        <w:ind w:hanging="360" w:start="1080" w:end="0"/>
        <w:jc w:val="both"/>
        <w:rPr/>
      </w:pPr>
      <w:r>
        <w:rPr/>
      </w:r>
    </w:p>
    <w:p>
      <w:pPr>
        <w:pStyle w:val="Heading3"/>
        <w:ind w:hanging="0" w:start="0"/>
        <w:rPr/>
      </w:pPr>
      <w:r>
        <w:rPr/>
        <w:t>X.  Policy Amendment Authority</w:t>
      </w:r>
    </w:p>
    <w:p>
      <w:pPr>
        <w:pStyle w:val="Normal"/>
        <w:jc w:val="both"/>
        <w:rPr/>
      </w:pPr>
      <w:r>
        <w:rPr/>
      </w:r>
    </w:p>
    <w:p>
      <w:pPr>
        <w:pStyle w:val="Normal"/>
        <w:numPr>
          <w:ilvl w:val="0"/>
          <w:numId w:val="8"/>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8"/>
        </w:numPr>
        <w:tabs>
          <w:tab w:val="clear" w:pos="720"/>
          <w:tab w:val="left" w:pos="1080" w:leader="none"/>
        </w:tabs>
        <w:ind w:hanging="360" w:start="1080" w:end="0"/>
        <w:jc w:val="both"/>
        <w:rPr/>
      </w:pPr>
      <w:r>
        <w:rPr>
          <w:b/>
        </w:rPr>
        <w:t>Limit Changes</w:t>
      </w:r>
      <w:r>
        <w:rPr/>
        <w:t xml:space="preserve">.  The Board, unless covered by </w:t>
      </w:r>
      <w:del w:id="74" w:author="gpenman" w:date="2000-08-03T12:57:00Z">
        <w:r>
          <w:rPr/>
          <w:delText>I</w:delText>
        </w:r>
      </w:del>
      <w:r>
        <w:rPr/>
        <w:t>V</w:t>
      </w:r>
      <w:ins w:id="75" w:author="gpenman" w:date="2000-08-03T12:57:00Z">
        <w:r>
          <w:rPr/>
          <w:t>II</w:t>
        </w:r>
      </w:ins>
      <w:r>
        <w:rPr/>
        <w:t>,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8"/>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pPr>
      <w:r>
        <w:rPr>
          <w:b/>
        </w:rPr>
        <w:t>XI.  New Product Approval</w:t>
      </w:r>
      <w:del w:id="76" w:author="gpenman" w:date="2000-08-03T12:58:00Z">
        <w:r>
          <w:rPr/>
          <w:delText xml:space="preserve"> [why?]</w:delText>
        </w:r>
      </w:del>
    </w:p>
    <w:p>
      <w:pPr>
        <w:pStyle w:val="Normal"/>
        <w:rPr/>
      </w:pPr>
      <w:r>
        <w:rPr/>
      </w:r>
    </w:p>
    <w:p>
      <w:pPr>
        <w:pStyle w:val="Normal"/>
        <w:rPr/>
      </w:pPr>
      <w:r>
        <w:rPr/>
        <w:t>All n</w:t>
      </w:r>
      <w:ins w:id="77" w:author="gpenman" w:date="2000-08-03T13:00:00Z">
        <w:r>
          <w:rPr/>
          <w:t xml:space="preserve">on-standard </w:t>
        </w:r>
      </w:ins>
      <w:del w:id="78" w:author="gpenman" w:date="2000-08-03T13:00:00Z">
        <w:r>
          <w:rPr/>
          <w:delText xml:space="preserve">ew </w:delText>
        </w:r>
      </w:del>
      <w:r>
        <w:rPr/>
        <w:t>products</w:t>
      </w:r>
      <w:del w:id="79" w:author="gpenman" w:date="2000-08-03T13:00:00Z">
        <w:r>
          <w:rPr/>
          <w:delText xml:space="preserve"> </w:delText>
        </w:r>
      </w:del>
      <w:r>
        <w:rPr/>
        <w:t>will be subject to a</w:t>
      </w:r>
      <w:ins w:id="80" w:author="gpenman" w:date="2000-08-03T13:03:00Z">
        <w:r>
          <w:rPr/>
          <w:t xml:space="preserve">n </w:t>
        </w:r>
      </w:ins>
      <w:del w:id="81" w:author="gpenman" w:date="2000-08-03T13:03:00Z">
        <w:r>
          <w:rPr/>
          <w:delText xml:space="preserve"> n</w:delText>
        </w:r>
      </w:del>
      <w:del w:id="82" w:author="gpenman" w:date="2000-08-03T13:01:00Z">
        <w:r>
          <w:rPr/>
          <w:delText>ew</w:delText>
        </w:r>
      </w:del>
      <w:del w:id="83" w:author="gpenman" w:date="2000-08-03T13:03:00Z">
        <w:r>
          <w:rPr/>
          <w:delText xml:space="preserve"> product </w:delText>
        </w:r>
      </w:del>
      <w:r>
        <w:rPr/>
        <w:t xml:space="preserve">approval process prior to </w:t>
      </w:r>
      <w:ins w:id="84" w:author="gpenman" w:date="2000-08-03T13:01:00Z">
        <w:r>
          <w:rPr/>
          <w:t>execution</w:t>
        </w:r>
      </w:ins>
      <w:del w:id="85" w:author="gpenman" w:date="2000-08-03T13:01:00Z">
        <w:r>
          <w:rPr/>
          <w:delText>trading</w:delText>
        </w:r>
      </w:del>
      <w:r>
        <w:rPr/>
        <w:t xml:space="preserve">. </w:t>
      </w:r>
      <w:ins w:id="86" w:author="gpenman" w:date="2000-08-03T13:01:00Z">
        <w:r>
          <w:rPr/>
          <w:t xml:space="preserve"> Non-standard products </w:t>
        </w:r>
      </w:ins>
      <w:ins w:id="87" w:author="gpenman" w:date="2000-08-03T13:03:00Z">
        <w:r>
          <w:rPr/>
          <w:t>are trades that may create a Position outside the normal course of business</w:t>
        </w:r>
      </w:ins>
      <w:ins w:id="88" w:author="gpenman" w:date="2000-08-03T13:06:00Z">
        <w:r>
          <w:rPr/>
          <w:t xml:space="preserve">, but not trigger a limit violation.  </w:t>
        </w:r>
      </w:ins>
      <w:r>
        <w:rPr/>
        <w:t xml:space="preserve">The </w:t>
      </w:r>
      <w:del w:id="89" w:author="gpenman" w:date="2000-08-03T13:01:00Z">
        <w:r>
          <w:rPr/>
          <w:delText xml:space="preserve">MEH </w:delText>
        </w:r>
      </w:del>
      <w:r>
        <w:rPr/>
        <w:t>Board</w:t>
      </w:r>
      <w:del w:id="90" w:author="gpenman" w:date="2000-08-03T13:01:00Z">
        <w:r>
          <w:rPr/>
          <w:delText xml:space="preserve"> of Managers</w:delText>
        </w:r>
      </w:del>
      <w:r>
        <w:rPr/>
        <w:t xml:space="preserve"> is able to authorize any new products traded.  The process requires the </w:t>
      </w:r>
      <w:del w:id="91" w:author="gpenman" w:date="2000-08-03T13:07:00Z">
        <w:r>
          <w:rPr/>
          <w:delText>business group or individual traders</w:delText>
        </w:r>
      </w:del>
      <w:ins w:id="92" w:author="gpenman" w:date="2000-08-03T13:07:00Z">
        <w:r>
          <w:rPr/>
          <w:t xml:space="preserve">Commercial Development Manager </w:t>
        </w:r>
      </w:ins>
      <w:del w:id="93" w:author="gpenman" w:date="2000-08-03T13:07:00Z">
        <w:r>
          <w:rPr/>
          <w:delText xml:space="preserve"> </w:delText>
        </w:r>
      </w:del>
      <w:r>
        <w:rPr/>
        <w:t xml:space="preserve">to describe the product including a full description of all deal terms, pricing methodology, risk factors, hedging techniques and unhedged residual risks.  </w:t>
      </w:r>
      <w:del w:id="94" w:author="gpenman" w:date="2000-08-03T13:08:00Z">
        <w:r>
          <w:rPr/>
          <w:delText xml:space="preserve"> </w:delText>
        </w:r>
      </w:del>
      <w:r>
        <w:rPr/>
        <w:t xml:space="preserve">The Board of Managers has </w:t>
      </w:r>
      <w:del w:id="95" w:author="gpenman" w:date="2000-08-03T13:09:00Z">
        <w:r>
          <w:rPr/>
          <w:delText xml:space="preserve">the </w:delText>
        </w:r>
      </w:del>
      <w:r>
        <w:rPr/>
        <w:t xml:space="preserve">authority </w:t>
      </w:r>
      <w:ins w:id="96" w:author="gpenman" w:date="2000-08-03T13:09:00Z">
        <w:r>
          <w:rPr/>
          <w:t xml:space="preserve">for approval of non-standard products and </w:t>
        </w:r>
      </w:ins>
      <w:del w:id="97" w:author="gpenman" w:date="2000-08-03T13:09:00Z">
        <w:r>
          <w:rPr/>
          <w:delText xml:space="preserve">to </w:delText>
        </w:r>
      </w:del>
      <w:r>
        <w:rPr/>
        <w:t>modif</w:t>
      </w:r>
      <w:ins w:id="98" w:author="gpenman" w:date="2000-08-03T13:09:00Z">
        <w:r>
          <w:rPr/>
          <w:t>ication of</w:t>
        </w:r>
      </w:ins>
      <w:del w:id="99" w:author="gpenman" w:date="2000-08-03T13:09:00Z">
        <w:r>
          <w:rPr/>
          <w:delText>y</w:delText>
        </w:r>
      </w:del>
      <w:r>
        <w:rPr/>
        <w:t xml:space="preserve"> any limits following approval or </w:t>
      </w:r>
      <w:ins w:id="100" w:author="gpenman" w:date="2000-08-03T13:09:00Z">
        <w:r>
          <w:rPr/>
          <w:t xml:space="preserve">to </w:t>
        </w:r>
      </w:ins>
      <w:r>
        <w:rPr/>
        <w:t xml:space="preserve">delegate authority to modify limits to the Risk </w:t>
      </w:r>
      <w:del w:id="101" w:author="gpenman" w:date="2000-08-03T13:07:00Z">
        <w:r>
          <w:rPr/>
          <w:delText xml:space="preserve">Management </w:delText>
        </w:r>
      </w:del>
      <w:r>
        <w:rPr/>
        <w:t xml:space="preserve">Committee.  The Risk </w:t>
      </w:r>
      <w:del w:id="102" w:author="gpenman" w:date="2000-08-03T13:07:00Z">
        <w:r>
          <w:rPr/>
          <w:delText xml:space="preserve">Management </w:delText>
        </w:r>
      </w:del>
      <w:r>
        <w:rPr/>
        <w:t>Committee has the authority to modify</w:t>
      </w:r>
      <w:del w:id="103" w:author="gpenman" w:date="2000-08-03T13:10:00Z">
        <w:r>
          <w:rPr/>
          <w:delText xml:space="preserve"> all</w:delText>
        </w:r>
      </w:del>
      <w:r>
        <w:rPr/>
        <w:t xml:space="preserve"> reporting requirements following approval</w:t>
      </w:r>
      <w:ins w:id="104" w:author="gpenman" w:date="2000-08-03T13:10:00Z">
        <w:r>
          <w:rPr/>
          <w:t xml:space="preserve"> to capture the risks associated with the non-standard product</w:t>
        </w:r>
      </w:ins>
      <w:r>
        <w:rPr/>
        <w:t>.</w:t>
      </w:r>
    </w:p>
    <w:p>
      <w:pPr>
        <w:pStyle w:val="Normal"/>
        <w:tabs>
          <w:tab w:val="clear" w:pos="720"/>
          <w:tab w:val="left" w:pos="1125" w:leader="none"/>
        </w:tabs>
        <w:jc w:val="both"/>
        <w:rPr/>
      </w:pPr>
      <w:r>
        <w:rPr/>
      </w:r>
    </w:p>
    <w:p>
      <w:pPr>
        <w:pStyle w:val="Normal"/>
        <w:tabs>
          <w:tab w:val="clear" w:pos="720"/>
          <w:tab w:val="left" w:pos="1125" w:leader="none"/>
        </w:tabs>
        <w:jc w:val="both"/>
        <w:rPr/>
      </w:pPr>
      <w:ins w:id="105" w:author="gpenman" w:date="2000-08-03T13:11:00Z">
        <w:r>
          <w:rPr/>
          <w:t>The Risk Committee may approve e</w:t>
        </w:r>
      </w:ins>
      <w:del w:id="106" w:author="gpenman" w:date="2000-08-03T13:11:00Z">
        <w:r>
          <w:rPr/>
          <w:delText>E</w:delText>
        </w:r>
      </w:del>
      <w:r>
        <w:rPr/>
        <w:t>xceptions</w:t>
      </w:r>
      <w:del w:id="107" w:author="gpenman" w:date="2000-08-03T13:11:00Z">
        <w:r>
          <w:rPr/>
          <w:delText xml:space="preserve"> may be made</w:delText>
        </w:r>
      </w:del>
      <w:r>
        <w:rPr/>
        <w:t xml:space="preserve"> for one-off transactions used to accommodate customer deal flow or products similar in nature to approved products with small variations in risk factors.</w:t>
      </w:r>
      <w:del w:id="108" w:author="gpenman" w:date="2000-08-03T13:12:00Z">
        <w:r>
          <w:rPr/>
          <w:delText xml:space="preserve">  Exceptions to the formal product approval process require approval by the Risk Committee prior to trading or execution.</w:delText>
        </w:r>
      </w:del>
    </w:p>
    <w:p>
      <w:pPr>
        <w:pStyle w:val="Normal"/>
        <w:tabs>
          <w:tab w:val="clear" w:pos="720"/>
          <w:tab w:val="left" w:pos="1125" w:leader="none"/>
        </w:tabs>
        <w:jc w:val="both"/>
        <w:rPr>
          <w:b/>
          <w:del w:id="110" w:author="gpenman" w:date="2000-08-03T13:12:00Z"/>
        </w:rPr>
      </w:pPr>
      <w:del w:id="109" w:author="gpenman" w:date="2000-08-03T13:12:00Z">
        <w:r>
          <w:rPr>
            <w:b/>
          </w:rPr>
        </w:r>
      </w:del>
    </w:p>
    <w:p>
      <w:pPr>
        <w:pStyle w:val="Normal"/>
        <w:tabs>
          <w:tab w:val="clear" w:pos="720"/>
          <w:tab w:val="left" w:pos="1125" w:leader="none"/>
        </w:tabs>
        <w:jc w:val="both"/>
        <w:rPr>
          <w:b/>
          <w:i/>
          <w:i/>
          <w:del w:id="112" w:author="gpenman" w:date="2000-08-03T13:12:00Z"/>
        </w:rPr>
      </w:pPr>
      <w:del w:id="111" w:author="gpenman" w:date="2000-08-03T13:12:00Z">
        <w:r>
          <w:rPr>
            <w:b/>
            <w:i/>
          </w:rPr>
          <w:delText>Q:  Should this be for both new commodity groups or new types of structured deals.  If the latter, do we need to define “new product” by a threshold dollar amount?</w:delText>
        </w:r>
      </w:del>
    </w:p>
    <w:p>
      <w:pPr>
        <w:pStyle w:val="Normal"/>
        <w:tabs>
          <w:tab w:val="clear" w:pos="720"/>
          <w:tab w:val="left" w:pos="1125" w:leader="none"/>
        </w:tabs>
        <w:jc w:val="both"/>
        <w:rPr>
          <w:b/>
          <w:i/>
          <w:i/>
        </w:rPr>
      </w:pPr>
      <w:r>
        <w:rPr>
          <w:b/>
          <w:i/>
        </w:rPr>
      </w:r>
    </w:p>
    <w:p>
      <w:pPr>
        <w:pStyle w:val="Heading1"/>
        <w:tabs>
          <w:tab w:val="clear" w:pos="720"/>
          <w:tab w:val="left" w:pos="1125" w:leader="none"/>
        </w:tabs>
        <w:ind w:hanging="0" w:start="0"/>
        <w:rPr/>
      </w:pPr>
      <w:r>
        <w:rPr/>
        <w:t>XII.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w:t>
      </w:r>
      <w:ins w:id="113" w:author="gpenman" w:date="2000-08-03T13:12:00Z">
        <w:r>
          <w:rPr/>
          <w:t>Risk Procedures and Control Guidelines</w:t>
        </w:r>
      </w:ins>
      <w:del w:id="114" w:author="gpenman" w:date="2000-08-03T13:13:00Z">
        <w:r>
          <w:rPr/>
          <w:delText>MEH Transaction Process Flow policy</w:delText>
        </w:r>
      </w:del>
      <w:r>
        <w:rPr/>
        <w:t>.</w:t>
      </w:r>
      <w:del w:id="115" w:author="gpenman" w:date="2000-08-03T13:13:00Z">
        <w:r>
          <w:rPr/>
          <w:delText xml:space="preserve">  The process includes determining current market prices.  This will be accomplished by using publicly available forward curves and volatility levels from sources such as New York Mercantile Exchange, surveys of leading dealers or derivatives, and brokers.  The mid-market price will be used as a standard benchmark for marking to market.  Any revaluation, sources, and methods require review by the Risk Management Committee. </w:delText>
        </w:r>
      </w:del>
      <w:r>
        <w:rPr/>
        <w:t xml:space="preserve">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ins w:id="116" w:author="gpenman" w:date="2000-08-03T13:13:00Z">
        <w:r>
          <w:rPr/>
          <w:t>Deal capture will be in accordance with the Risk Procedure and Control Guidelines.</w:t>
        </w:r>
      </w:ins>
      <w:del w:id="117" w:author="gpenman" w:date="2000-08-03T13:13:00Z">
        <w:r>
          <w:rPr/>
          <w:delText>Each transaction is recorded through an appropriate deal ticket and subsequently input into the risk management system.   The deal ticket must include salient terms including, but not limited to volume, price, location, tenor, terms and conditions, performance obligations, and execution date.  MEH maintains on copy of the deal ticket and salient terms and forwards one copy to both the Chief Risk Officer and PEC Risk Management.  Specific procedures for deal capture and confirmations are detailed in the MEH Transaction Process Flow policy.</w:delText>
        </w:r>
      </w:del>
    </w:p>
    <w:p>
      <w:pPr>
        <w:pStyle w:val="Normal"/>
        <w:tabs>
          <w:tab w:val="clear" w:pos="720"/>
          <w:tab w:val="left" w:pos="1125" w:leader="none"/>
        </w:tabs>
        <w:jc w:val="both"/>
        <w:rPr>
          <w:b/>
        </w:rPr>
      </w:pPr>
      <w:r>
        <w:rPr>
          <w:b/>
        </w:rPr>
      </w:r>
    </w:p>
    <w:p>
      <w:pPr>
        <w:pStyle w:val="Normal"/>
        <w:numPr>
          <w:ilvl w:val="0"/>
          <w:numId w:val="7"/>
        </w:numPr>
        <w:tabs>
          <w:tab w:val="clear" w:pos="720"/>
          <w:tab w:val="left" w:pos="1125" w:leader="none"/>
        </w:tabs>
        <w:jc w:val="both"/>
        <w:rPr>
          <w:b/>
        </w:rPr>
      </w:pPr>
      <w:r>
        <w:rPr>
          <w:b/>
        </w:rPr>
        <w:t>XIV.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ins w:id="124" w:author="gpenman" w:date="2000-08-03T12:54:00Z"/>
        </w:rPr>
      </w:pPr>
      <w:ins w:id="118" w:author="gpenman" w:date="2000-08-03T13:15:00Z">
        <w:r>
          <w:rPr/>
          <w:t xml:space="preserve">Each Member Parent Company or its designated affiliate </w:t>
        </w:r>
      </w:ins>
      <w:del w:id="119" w:author="gpenman" w:date="2000-08-03T13:15:00Z">
        <w:r>
          <w:rPr/>
          <w:delText>PEC</w:delText>
        </w:r>
      </w:del>
      <w:r>
        <w:rPr/>
        <w:t xml:space="preserve"> has the right to audit the accounting books, deal valuation, confirmations, and all documents associated with MEH. </w:t>
      </w:r>
      <w:del w:id="120" w:author="gpenman" w:date="2000-08-03T13:14:00Z">
        <w:r>
          <w:rPr/>
          <w:delText xml:space="preserve">IV.  </w:delText>
        </w:r>
      </w:del>
      <w:r>
        <w:rPr/>
        <w:t>Limits</w:t>
      </w:r>
      <w:ins w:id="121" w:author="gpenman" w:date="2000-08-03T12:54:00Z">
        <w:r>
          <w:rPr/>
          <w:t xml:space="preserve">. Any member of the Risk Committee or </w:t>
        </w:r>
      </w:ins>
      <w:ins w:id="122" w:author="gpenman" w:date="2000-08-03T13:17:00Z">
        <w:r>
          <w:rPr/>
          <w:t xml:space="preserve">Member Parent Company </w:t>
        </w:r>
      </w:ins>
      <w:ins w:id="123" w:author="gpenman" w:date="2000-08-03T12:54:00Z">
        <w:r>
          <w:rPr/>
          <w:t>internal audit team assigned to MEH is authorized to request and receive a download or detailed list of all MEH transactions and open positions.</w:t>
        </w:r>
      </w:ins>
    </w:p>
    <w:p>
      <w:pPr>
        <w:pStyle w:val="BodyText"/>
        <w:keepNext w:val="false"/>
        <w:tabs>
          <w:tab w:val="clear" w:pos="720"/>
          <w:tab w:val="left" w:pos="1125" w:leader="none"/>
        </w:tabs>
        <w:rPr>
          <w:del w:id="126" w:author="gpenman" w:date="2000-08-03T13:18:00Z"/>
        </w:rPr>
      </w:pPr>
      <w:del w:id="125" w:author="gpenman" w:date="2000-08-03T13:18:00Z">
        <w:r>
          <w:rPr/>
        </w:r>
      </w:del>
    </w:p>
    <w:p>
      <w:pPr>
        <w:pStyle w:val="BodyText"/>
        <w:jc w:val="both"/>
        <w:rPr/>
      </w:pPr>
      <w:r>
        <w:rPr/>
      </w:r>
    </w:p>
    <w:p>
      <w:pPr>
        <w:pStyle w:val="Heading1"/>
        <w:ind w:hanging="0" w:start="0"/>
        <w:rPr/>
      </w:pPr>
      <w:r>
        <w:rPr/>
        <w:t>XV.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MEH authorized traders shall not engage in the trading of any Position for the benefit of any party other than MEH (whether for their own account or for the account of any third party) where such Position relates to (i) any financial instrument, security, financial asset or liability which falls within such individual’s responsibility at MEH or (ii) any other commodity, included in any Commodity Group.</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MEH within the coverage of this Policy shall sign, on an annual basis or upon any material revision to this Policy, a statement approved by the MEH Risk Committee, attached as </w:t>
      </w:r>
      <w:r>
        <w:rPr>
          <w:u w:val="single"/>
        </w:rPr>
        <w:t xml:space="preserve">Appendix IV, </w:t>
      </w:r>
      <w:r>
        <w:rPr/>
        <w:t>that such employee (i) has read this Policy and the MEH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XVI.  Definitions</w:t>
      </w:r>
    </w:p>
    <w:p>
      <w:pPr>
        <w:pStyle w:val="Normal"/>
        <w:keepNext w:val="true"/>
        <w:jc w:val="both"/>
        <w:rPr/>
      </w:pPr>
      <w:r>
        <w:rPr/>
      </w:r>
    </w:p>
    <w:p>
      <w:pPr>
        <w:pStyle w:val="Normal"/>
        <w:ind w:start="720" w:end="0"/>
        <w:jc w:val="both"/>
        <w:rPr/>
      </w:pPr>
      <w:r>
        <w:rPr>
          <w:rFonts w:eastAsia="Book Antiqua;Georgi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MEH.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MEH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means guidelines for credit approvals, other controls and operating procedures with respect to trading activities and similar matters, which guidelines when initially adopted shall incorporated Enron Corp.’s risk control and procedures guidelines then in effect, and those additional guidelines for credit approvals, other contract and operating procedures with respect to trading activities, and similar matters as agreed to by the MEH Board of Managers.</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shall mean the Potential Exposure related to a Commodity Group or Position calculated using the Midwest Energy Hub, LLC.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MEH Risk Management Committee.</w:t>
      </w:r>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0"/>
        <w:jc w:val="center"/>
        <w:rPr>
          <w:b/>
        </w:rPr>
      </w:pPr>
      <w:r>
        <w:rPr>
          <w:b/>
        </w:rPr>
      </w:r>
    </w:p>
    <w:tbl>
      <w:tblPr>
        <w:tblW w:w="10620" w:type="dxa"/>
        <w:jc w:val="start"/>
        <w:tblInd w:w="-252" w:type="dxa"/>
        <w:tblLayout w:type="fixed"/>
        <w:tblCellMar>
          <w:top w:w="0" w:type="dxa"/>
          <w:start w:w="108" w:type="dxa"/>
          <w:bottom w:w="0" w:type="dxa"/>
          <w:end w:w="108" w:type="dxa"/>
        </w:tblCellMar>
      </w:tblPr>
      <w:tblGrid>
        <w:gridCol w:w="2880"/>
        <w:gridCol w:w="2070"/>
        <w:gridCol w:w="1440"/>
        <w:gridCol w:w="1890"/>
        <w:gridCol w:w="1080"/>
        <w:gridCol w:w="1260"/>
      </w:tblGrid>
      <w:tr>
        <w:trPr/>
        <w:tc>
          <w:tcPr>
            <w:tcW w:w="28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207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44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9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108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1260" w:type="dxa"/>
            <w:tcBorders>
              <w:top w:val="single" w:sz="6" w:space="0" w:color="000000"/>
              <w:bottom w:val="single" w:sz="6" w:space="0" w:color="000000"/>
              <w:end w:val="single" w:sz="4" w:space="0" w:color="000000"/>
            </w:tcBorders>
            <w:shd w:fill="A5A5A5" w:val="clear"/>
          </w:tcPr>
          <w:p>
            <w:pPr>
              <w:pStyle w:val="Normal"/>
              <w:jc w:val="center"/>
              <w:rPr>
                <w:b/>
              </w:rPr>
            </w:pPr>
            <w:r>
              <w:rPr>
                <w:b/>
              </w:rPr>
              <w:t>Max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2070" w:type="dxa"/>
            <w:tcBorders>
              <w:top w:val="single" w:sz="6" w:space="0" w:color="000000"/>
              <w:bottom w:val="single" w:sz="6" w:space="0" w:color="000000"/>
              <w:end w:val="single" w:sz="4" w:space="0" w:color="000000"/>
            </w:tcBorders>
          </w:tcPr>
          <w:p>
            <w:pPr>
              <w:pStyle w:val="Normal"/>
              <w:jc w:val="center"/>
              <w:rPr/>
            </w:pPr>
            <w:r>
              <w:rPr/>
              <w:t>Aggregate Limit</w:t>
            </w:r>
          </w:p>
        </w:tc>
        <w:tc>
          <w:tcPr>
            <w:tcW w:w="1440" w:type="dxa"/>
            <w:tcBorders>
              <w:top w:val="single" w:sz="6" w:space="0" w:color="000000"/>
              <w:bottom w:val="single" w:sz="6" w:space="0" w:color="000000"/>
              <w:end w:val="single" w:sz="4" w:space="0" w:color="000000"/>
            </w:tcBorders>
          </w:tcPr>
          <w:p>
            <w:pPr>
              <w:pStyle w:val="Normal"/>
              <w:snapToGrid w:val="false"/>
              <w:jc w:val="center"/>
              <w:rPr/>
            </w:pPr>
            <w:r>
              <w:rPr/>
            </w:r>
          </w:p>
        </w:tc>
        <w:tc>
          <w:tcPr>
            <w:tcW w:w="1890" w:type="dxa"/>
            <w:tcBorders>
              <w:top w:val="single" w:sz="6" w:space="0" w:color="000000"/>
              <w:bottom w:val="single" w:sz="6" w:space="0" w:color="000000"/>
              <w:end w:val="single" w:sz="4" w:space="0" w:color="000000"/>
            </w:tcBorders>
          </w:tcPr>
          <w:p>
            <w:pPr>
              <w:pStyle w:val="Normal"/>
              <w:snapToGrid w:val="false"/>
              <w:jc w:val="center"/>
              <w:rPr/>
            </w:pPr>
            <w:r>
              <w:rPr/>
            </w:r>
          </w:p>
        </w:tc>
        <w:tc>
          <w:tcPr>
            <w:tcW w:w="1080" w:type="dxa"/>
            <w:tcBorders>
              <w:top w:val="single" w:sz="6" w:space="0" w:color="000000"/>
              <w:bottom w:val="single" w:sz="6" w:space="0" w:color="000000"/>
              <w:end w:val="single" w:sz="4" w:space="0" w:color="000000"/>
            </w:tcBorders>
          </w:tcPr>
          <w:p>
            <w:pPr>
              <w:pStyle w:val="Normal"/>
              <w:jc w:val="center"/>
              <w:rPr/>
            </w:pPr>
            <w:r>
              <w:rPr/>
              <w:t>$2 MM</w:t>
            </w:r>
          </w:p>
        </w:tc>
        <w:tc>
          <w:tcPr>
            <w:tcW w:w="1260" w:type="dxa"/>
            <w:tcBorders>
              <w:top w:val="single" w:sz="6" w:space="0" w:color="000000"/>
              <w:bottom w:val="single" w:sz="6" w:space="0" w:color="000000"/>
              <w:end w:val="single" w:sz="4" w:space="0" w:color="000000"/>
            </w:tcBorders>
          </w:tcPr>
          <w:p>
            <w:pPr>
              <w:pStyle w:val="Normal"/>
              <w:jc w:val="center"/>
              <w:rPr/>
            </w:pPr>
            <w:r>
              <w:rPr/>
              <w:t>LLC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207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440" w:type="dxa"/>
            <w:tcBorders>
              <w:top w:val="single" w:sz="6" w:space="0" w:color="000000"/>
              <w:bottom w:val="single" w:sz="6" w:space="0" w:color="000000"/>
              <w:end w:val="single" w:sz="6" w:space="0" w:color="000000"/>
            </w:tcBorders>
          </w:tcPr>
          <w:p>
            <w:pPr>
              <w:pStyle w:val="Normal"/>
              <w:jc w:val="center"/>
              <w:rPr/>
            </w:pPr>
            <w:r>
              <w:rPr/>
              <w:t>5 Bcf</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bl>
    <w:p>
      <w:pPr>
        <w:pStyle w:val="Normal"/>
        <w:ind w:start="720" w:end="0"/>
        <w:jc w:val="both"/>
        <w:rPr/>
      </w:pPr>
      <w:r>
        <w:rPr/>
      </w:r>
      <w:r>
        <w:br w:type="page"/>
      </w:r>
    </w:p>
    <w:p>
      <w:pPr>
        <w:pStyle w:val="Normal"/>
        <w:ind w:start="720" w:end="0"/>
        <w:jc w:val="both"/>
        <w:rPr/>
      </w:pPr>
      <w:r>
        <w:rPr/>
      </w:r>
    </w:p>
    <w:p>
      <w:pPr>
        <w:pStyle w:val="Body"/>
        <w:ind w:start="0" w:end="0"/>
        <w:jc w:val="center"/>
        <w:rPr>
          <w:rFonts w:ascii="Book Antiqua;Georgia" w:hAnsi="Book Antiqua;Georgia" w:cs="Book Antiqua;Georgia"/>
          <w:b/>
          <w:color w:val="auto"/>
        </w:rPr>
      </w:pPr>
      <w:r>
        <w:rPr>
          <w:rFonts w:cs="Book Antiqua;Georgia" w:ascii="Book Antiqua;Georgia" w:hAnsi="Book Antiqua;Georgia"/>
          <w:b/>
          <w:color w:val="auto"/>
        </w:rPr>
        <w:t>Appendix II</w:t>
      </w:r>
    </w:p>
    <w:p>
      <w:pPr>
        <w:pStyle w:val="Body"/>
        <w:ind w:start="0" w:end="0"/>
        <w:jc w:val="center"/>
        <w:rPr>
          <w:rFonts w:ascii="Book Antiqua;Georgia" w:hAnsi="Book Antiqua;Georgia" w:cs="Book Antiqua;Georgia"/>
          <w:color w:val="auto"/>
        </w:rPr>
      </w:pPr>
      <w:r>
        <w:rPr>
          <w:rFonts w:cs="Book Antiqua;Georgia" w:ascii="Book Antiqua;Georgia" w:hAnsi="Book Antiqua;Georgia"/>
          <w:b/>
          <w:color w:val="auto"/>
        </w:rPr>
        <w:t>MEH Risk Control Structure</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MEH Risk Management Committee</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Enron –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Peoples Energy –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Chief Risk Officer –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r>
        <w:br w:type="page"/>
      </w:r>
    </w:p>
    <w:p>
      <w:pPr>
        <w:pStyle w:val="Body"/>
        <w:ind w:start="0" w:end="0"/>
        <w:jc w:val="center"/>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t>Appendix III</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t>To:</w:t>
        <w:tab/>
        <w:tab/>
        <w:t>Chief Risk Officer</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t>From:</w:t>
        <w:tab/>
        <w:tab/>
        <w:t>MEH Board of Managers</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t>Subject:</w:t>
        <w:tab/>
        <w:t>MEH Authorized Trader List</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Change w:id="0" w:author="gpenman" w:date="2000-08-03T13:25:00Z"/>
        </w:rPr>
        <w:t>Date:</w:t>
        <w:tab/>
        <w:tab/>
      </w:r>
    </w:p>
    <w:p>
      <w:pPr>
        <w:pStyle w:val="Body"/>
        <w:ind w:start="0" w:end="0"/>
        <w:rPr>
          <w:rFonts w:ascii="Book Antiqua;Georgia" w:hAnsi="Book Antiqua;Georgia" w:cs="Book Antiqua;Georgia"/>
          <w:b/>
          <w:color w:val="000000"/>
        </w:rPr>
      </w:pPr>
      <w:r>
        <w:rPr>
          <w:rFonts w:cs="Book Antiqua;Georgia" w:ascii="Book Antiqua;Georgia" w:hAnsi="Book Antiqua;Georgi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In accordance with the MEH Risk Management Policy, and subject to the Risk Procedure and Control Guidelines, we hereby authorize the following individuals to trade under the following commodity groups, on behalf of MEH. We will notify you on any significant changes and should update this memo as necessary.</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They are listed as follows:</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Change w:id="0" w:author="gpenman" w:date="2000-08-03T13:28:00Z"/>
        </w:rPr>
        <w:t>NA Natural Gas:</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ab/>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Richard Tomaski</w:t>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Lee Fascetti</w:t>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Steve Richman</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Change w:id="0" w:author="gpenman" w:date="2000-08-03T13:28:00Z"/>
        </w:rPr>
        <w:t>Ethane/Propane:</w:t>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Change w:id="0" w:author="gpenman" w:date="2000-08-03T13:28:00Z"/>
        </w:rPr>
        <w:t>Weather:</w:t>
      </w:r>
    </w:p>
    <w:p>
      <w:pPr>
        <w:pStyle w:val="Body"/>
        <w:ind w:start="0" w:end="0"/>
        <w:rPr>
          <w:rFonts w:ascii="Book Antiqua;Georgia" w:hAnsi="Book Antiqua;Georgia" w:cs="Book Antiqua;Georgia"/>
          <w:color w:val="000000"/>
          <w:u w:val="single"/>
        </w:rPr>
      </w:pPr>
      <w:r>
        <w:rPr>
          <w:rFonts w:cs="Book Antiqua;Georgia" w:ascii="Book Antiqua;Georgia" w:hAnsi="Book Antiqua;Georgia"/>
          <w:color w:val="000000"/>
          <w:u w:val="single"/>
        </w:rPr>
      </w:r>
      <w:r>
        <w:br w:type="page"/>
      </w:r>
    </w:p>
    <w:p>
      <w:pPr>
        <w:pStyle w:val="Body"/>
        <w:ind w:start="0" w:end="0"/>
        <w:rPr>
          <w:color w:val="000000"/>
        </w:rPr>
      </w:pPr>
      <w:r>
        <w:rPr>
          <w:color w:val="000000"/>
        </w:rPr>
      </w:r>
    </w:p>
    <w:p>
      <w:pPr>
        <w:pStyle w:val="Normal"/>
        <w:jc w:val="center"/>
        <w:rPr>
          <w:b/>
          <w:color w:val="000000"/>
        </w:rPr>
      </w:pPr>
      <w:r>
        <w:rPr>
          <w:sz w:val="24"/>
          <w:rPrChange w:id="0" w:author="gpenman" w:date="2000-08-03T13:28:00Z"/>
        </w:rPr>
        <w:t>Appendix IV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del w:id="141" w:author="gpenman" w:date="2000-08-03T13:29:00Z"/>
        </w:rPr>
      </w:pPr>
      <w:del w:id="140" w:author="gpenman" w:date="2000-08-03T13:29:00Z">
        <w:r>
          <w:rPr>
            <w:sz w:val="24"/>
          </w:rPr>
        </w:r>
      </w:del>
    </w:p>
    <w:p>
      <w:pPr>
        <w:pStyle w:val="Normal"/>
        <w:rPr>
          <w:sz w:val="24"/>
        </w:rPr>
      </w:pPr>
      <w:r>
        <w:rPr>
          <w:sz w:val="24"/>
        </w:rPr>
      </w:r>
    </w:p>
    <w:p>
      <w:pPr>
        <w:pStyle w:val="Normal"/>
        <w:numPr>
          <w:ilvl w:val="0"/>
          <w:numId w:val="2"/>
        </w:numPr>
        <w:rPr>
          <w:sz w:val="24"/>
        </w:rPr>
      </w:pPr>
      <w:r>
        <w:rPr>
          <w:sz w:val="24"/>
        </w:rPr>
        <w:t>I have read and understand the foregoing Midwest Energy Hub,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Midwest Energy Hub,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XV Miscellaneous of the Midwest Energy Hub,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financial instrument, security, financial asset or liability for the benefit of any party (whether for my own account or for the account of any third party) other than Midwest Energy Hub, L.L.C., where such commodity, financial instrument, security, financial asset or liability falls within my responsibility at Midwest Energy Hub, L.L.C..</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Midwest Energy Hub, L.L.C., where such commodity is included in the Appendix I of the Midwest Energy Hub, L.L.C. Risk Management Policy</w:t>
      </w:r>
    </w:p>
    <w:p>
      <w:pPr>
        <w:pStyle w:val="Normal"/>
        <w:rPr>
          <w:sz w:val="24"/>
        </w:rPr>
      </w:pPr>
      <w:r>
        <w:rPr>
          <w:sz w:val="24"/>
        </w:rPr>
      </w:r>
    </w:p>
    <w:p>
      <w:pPr>
        <w:pStyle w:val="Normal"/>
        <w:rPr>
          <w:sz w:val="24"/>
        </w:rPr>
      </w:pPr>
      <w:ins w:id="142" w:author="gpenman" w:date="2000-08-03T13:22:00Z">
        <w:r>
          <w:rPr>
            <w:sz w:val="24"/>
          </w:rPr>
          <w:t>[Do we need both 4 and 5 above?]</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r>
        <w:br w:type="page"/>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46" w:author="gpenman" w:date="2000-08-02T11:02:00Z"/>
      </w:rPr>
    </w:pPr>
    <w:ins w:id="143" w:author="gpenman" w:date="2000-08-02T11:02:00Z">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/mnt/main-storage/datasets/enron-docs/doc/MEH_Risk_Policy_080300.doc</w:t>
      </w:r>
      <w:r>
        <w:rPr>
          <w:lang w:eastAsia="en-US"/>
        </w:rPr>
        <w:fldChar w:fldCharType="end"/>
      </w:r>
    </w:ins>
    <w:ins w:id="144" w:author="gpenman" w:date="2000-08-02T11:04:00Z">
      <w:r>
        <w:rPr>
          <w:lang w:eastAsia="en-US"/>
        </w:rPr>
        <w:tab/>
        <w:tab/>
        <w:tab/>
      </w:r>
    </w:ins>
    <w:ins w:id="145" w:author="gpenman" w:date="2000-08-02T11:02: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p>
    <w:pPr>
      <w:pStyle w:val="Footer"/>
      <w:rPr/>
    </w:pPr>
    <w:ins w:id="147" w:author="gpenman" w:date="2000-08-02T11:02:00Z">
      <w:r>
        <w:rPr/>
        <w:fldChar w:fldCharType="begin"/>
      </w:r>
      <w:r>
        <w:rPr/>
        <w:instrText xml:space="preserve"> DATE \@"MM\/dd\/yy" </w:instrText>
      </w:r>
      <w:r>
        <w:rPr/>
        <w:fldChar w:fldCharType="separate"/>
      </w:r>
      <w:r>
        <w:rPr/>
        <w:t>09/28/25</w:t>
      </w:r>
      <w:r>
        <w:rPr/>
        <w:fldChar w:fldCharType="end"/>
      </w:r>
    </w:ins>
    <w:ins w:id="148" w:author="gpenman" w:date="2000-08-02T11:02:00Z">
      <w:r>
        <w:rPr>
          <w:rFonts w:eastAsia="Book Antiqua;Georgia"/>
        </w:rPr>
        <w:t xml:space="preserve">  </w:t>
      </w:r>
    </w:ins>
    <w:ins w:id="149" w:author="gpenman" w:date="2000-08-02T11:02:00Z">
      <w:r>
        <w:rPr/>
        <w:fldChar w:fldCharType="begin"/>
      </w:r>
      <w:r>
        <w:rPr/>
        <w:instrText xml:space="preserve"> TIME \@"H:mm\ AM/PM" </w:instrText>
      </w:r>
      <w:r>
        <w:rPr/>
        <w:fldChar w:fldCharType="separate"/>
      </w:r>
      <w:r>
        <w:rPr/>
        <w:t>8:53 AM</w:t>
      </w:r>
      <w: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ins w:id="151" w:author="gpenman" w:date="2000-08-02T11:03:00Z"/>
      </w:rPr>
    </w:pPr>
    <w:ins w:id="150" w:author="gpenman" w:date="2000-08-02T11:03:00Z">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/mnt/main-storage/datasets/enron-docs/doc/MEH_Risk_Policy_080300.doc</w:t>
      </w:r>
      <w:r>
        <w:rPr>
          <w:lang w:eastAsia="en-US"/>
        </w:rPr>
        <w:fldChar w:fldCharType="end"/>
      </w:r>
    </w:ins>
  </w:p>
  <w:p>
    <w:pPr>
      <w:pStyle w:val="Footer"/>
      <w:rPr/>
    </w:pPr>
    <w:ins w:id="152" w:author="gpenman" w:date="2000-08-02T11:03:00Z">
      <w:r>
        <w:rPr/>
        <w:fldChar w:fldCharType="begin"/>
      </w:r>
      <w:r>
        <w:rPr/>
        <w:instrText xml:space="preserve"> DATE \@"MM\/dd\/yy" </w:instrText>
      </w:r>
      <w:r>
        <w:rPr/>
        <w:fldChar w:fldCharType="separate"/>
      </w:r>
      <w:r>
        <w:rPr/>
        <w:t>09/28/25</w:t>
      </w:r>
      <w:r>
        <w:rPr/>
        <w:fldChar w:fldCharType="end"/>
      </w:r>
    </w:ins>
    <w:ins w:id="153" w:author="gpenman" w:date="2000-08-02T11:03:00Z">
      <w:r>
        <w:rPr>
          <w:rFonts w:eastAsia="Book Antiqua;Georgia"/>
        </w:rPr>
        <w:t xml:space="preserve">  </w:t>
      </w:r>
    </w:ins>
    <w:ins w:id="154" w:author="gpenman" w:date="2000-08-02T11:03:00Z">
      <w:r>
        <w:rPr/>
        <w:fldChar w:fldCharType="begin"/>
      </w:r>
      <w:r>
        <w:rPr/>
        <w:instrText xml:space="preserve"> TIME \@"H:mm\ AM/PM" </w:instrText>
      </w:r>
      <w:r>
        <w:rPr/>
        <w:fldChar w:fldCharType="separate"/>
      </w:r>
      <w:r>
        <w:rPr/>
        <w:t>8:53 AM</w:t>
      </w:r>
      <w: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MEH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b/>
        <w:sz w:val="24"/>
      </w:rPr>
      <w:t>MIDWEST ENERGY HUB,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Midwest Energy Hub,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3"/>
      <w:numFmt w:val="upperRoman"/>
      <w:lvlText w:val="%1."/>
      <w:lvlJc w:val="start"/>
      <w:pPr>
        <w:tabs>
          <w:tab w:val="num" w:pos="720"/>
        </w:tabs>
        <w:ind w:start="360" w:hanging="360"/>
      </w:pPr>
    </w:lvl>
  </w:abstractNum>
  <w:abstractNum w:abstractNumId="8">
    <w:lvl w:ilvl="0">
      <w:start w:val="1"/>
      <w:numFmt w:val="upperLetter"/>
      <w:lvlText w:val="%1."/>
      <w:lvlJc w:val="start"/>
      <w:pPr>
        <w:tabs>
          <w:tab w:val="num" w:pos="360"/>
        </w:tabs>
        <w:ind w:start="360" w:hanging="360"/>
      </w:pPr>
    </w:lvl>
  </w:abstractNum>
  <w:abstractNum w:abstractNumId="9">
    <w:lvl w:ilvl="0">
      <w:start w:val="1"/>
      <w:numFmt w:val="upperRoman"/>
      <w:lvlText w:val="%1."/>
      <w:lvlJc w:val="start"/>
      <w:pPr>
        <w:tabs>
          <w:tab w:val="num" w:pos="720"/>
        </w:tabs>
        <w:ind w:start="720" w:hanging="720"/>
      </w:p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Georgia" w:hAnsi="Book Antiqua;Georgia" w:eastAsia="Times New Roman" w:cs="Book Antiqua;Georgi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1z0">
    <w:name w:val="WW8Num11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41z0">
    <w:name w:val="WW8Num41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2000-08-02T09:50:00Z</dcterms:created>
  <dc:creator>ECT</dc:creator>
  <dc:description>Incorporates comments from M Taylor and J Skilling</dc:description>
  <dc:language>en-CA</dc:language>
  <cp:lastModifiedBy>gpenman</cp:lastModifiedBy>
  <cp:lastPrinted>2000-08-02T10:44:00Z</cp:lastPrinted>
  <dcterms:modified xsi:type="dcterms:W3CDTF">2000-08-03T16:47:00Z</dcterms:modified>
  <cp:revision>36</cp:revision>
  <dc:subject/>
  <dc:title>ECT Risk Management Policy</dc:title>
</cp:coreProperties>
</file>