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MEH Meetings with Commissioner Newsome and Congressman Stenholm –</w:t>
      </w:r>
    </w:p>
    <w:p>
      <w:pPr>
        <w:pStyle w:val="Heading1"/>
        <w:ind w:hanging="0" w:start="0"/>
        <w:rPr/>
      </w:pPr>
      <w:r>
        <w:rPr/>
      </w:r>
    </w:p>
    <w:p>
      <w:pPr>
        <w:pStyle w:val="Heading1"/>
        <w:ind w:hanging="0" w:start="0"/>
        <w:jc w:val="center"/>
        <w:rPr/>
      </w:pPr>
      <w:r>
        <w:rPr/>
        <w:t>Key Issues</w:t>
      </w:r>
    </w:p>
    <w:p>
      <w:pPr>
        <w:pStyle w:val="Normal"/>
        <w:rPr>
          <w:sz w:val="24"/>
          <w:u w:val="single"/>
        </w:rPr>
      </w:pPr>
      <w:r>
        <w:rPr>
          <w:sz w:val="24"/>
          <w:u w:val="single"/>
        </w:rPr>
      </w:r>
    </w:p>
    <w:p>
      <w:pPr>
        <w:pStyle w:val="Normal"/>
        <w:rPr>
          <w:sz w:val="24"/>
          <w:u w:val="single"/>
        </w:rPr>
      </w:pPr>
      <w:r>
        <w:rPr>
          <w:sz w:val="24"/>
          <w:u w:val="single"/>
        </w:rPr>
      </w:r>
    </w:p>
    <w:p>
      <w:pPr>
        <w:pStyle w:val="Normal"/>
        <w:rPr>
          <w:b/>
          <w:sz w:val="24"/>
        </w:rPr>
      </w:pPr>
      <w:r>
        <w:rPr>
          <w:b/>
          <w:sz w:val="24"/>
        </w:rPr>
        <w:t>We support:</w:t>
      </w:r>
    </w:p>
    <w:p>
      <w:pPr>
        <w:pStyle w:val="Normal"/>
        <w:rPr>
          <w:b/>
          <w:sz w:val="24"/>
        </w:rPr>
      </w:pPr>
      <w:r>
        <w:rPr>
          <w:b/>
          <w:sz w:val="24"/>
        </w:rPr>
      </w:r>
    </w:p>
    <w:p>
      <w:pPr>
        <w:pStyle w:val="Normal"/>
        <w:numPr>
          <w:ilvl w:val="0"/>
          <w:numId w:val="2"/>
        </w:numPr>
        <w:rPr>
          <w:sz w:val="24"/>
        </w:rPr>
      </w:pPr>
      <w:r>
        <w:rPr>
          <w:sz w:val="24"/>
        </w:rPr>
        <w:t>Legal certainty for OTC derivatives</w:t>
      </w:r>
    </w:p>
    <w:p>
      <w:pPr>
        <w:pStyle w:val="BodyTextIndent"/>
        <w:rPr/>
      </w:pPr>
      <w:r>
        <w:rPr/>
        <w:t>While the status quo works for us, there is no reason not to fix the existing uncertainty for derivatives generally.</w:t>
      </w:r>
    </w:p>
    <w:p>
      <w:pPr>
        <w:pStyle w:val="BodyTextIndent"/>
        <w:rPr/>
      </w:pPr>
      <w:r>
        <w:rPr/>
      </w:r>
    </w:p>
    <w:p>
      <w:pPr>
        <w:pStyle w:val="Normal"/>
        <w:numPr>
          <w:ilvl w:val="0"/>
          <w:numId w:val="3"/>
        </w:numPr>
        <w:rPr>
          <w:sz w:val="24"/>
        </w:rPr>
      </w:pPr>
      <w:r>
        <w:rPr>
          <w:sz w:val="24"/>
        </w:rPr>
        <w:t>Easing the regulatory burden on the exchanges</w:t>
      </w:r>
    </w:p>
    <w:p>
      <w:pPr>
        <w:pStyle w:val="Normal"/>
        <w:ind w:start="720" w:end="0"/>
        <w:rPr>
          <w:sz w:val="24"/>
        </w:rPr>
      </w:pPr>
      <w:r>
        <w:rPr>
          <w:sz w:val="24"/>
        </w:rPr>
        <w:t>As an exchange customer (and member) we appreciate the safe and liquid market available to us at the commodity exchanges – but an easing of their regulatory burden would reduce the costs of doing business there.</w:t>
      </w:r>
    </w:p>
    <w:p>
      <w:pPr>
        <w:pStyle w:val="Normal"/>
        <w:ind w:start="720" w:end="0"/>
        <w:rPr>
          <w:sz w:val="24"/>
        </w:rPr>
      </w:pPr>
      <w:r>
        <w:rPr>
          <w:sz w:val="24"/>
        </w:rPr>
      </w:r>
    </w:p>
    <w:p>
      <w:pPr>
        <w:pStyle w:val="Normal"/>
        <w:numPr>
          <w:ilvl w:val="0"/>
          <w:numId w:val="5"/>
        </w:numPr>
        <w:rPr>
          <w:sz w:val="24"/>
        </w:rPr>
      </w:pPr>
      <w:r>
        <w:rPr>
          <w:sz w:val="24"/>
        </w:rPr>
        <w:t>Electronic Trading</w:t>
      </w:r>
    </w:p>
    <w:p>
      <w:pPr>
        <w:pStyle w:val="BodyTextIndent"/>
        <w:rPr/>
      </w:pPr>
      <w:r>
        <w:rPr/>
        <w:t>To the extent we use electronic communications instead of the telephone to conduct our trading, there should be no different regulatory scheme than might cover our existing business. (This one is a little tricky – our position is that there is no current problem with electronic trading but at least one exchange has suggested that trading over the internet might turn us into an exchange).</w:t>
      </w:r>
    </w:p>
    <w:p>
      <w:pPr>
        <w:pStyle w:val="Normal"/>
        <w:ind w:start="720" w:end="0"/>
        <w:rPr>
          <w:sz w:val="24"/>
        </w:rPr>
      </w:pPr>
      <w:r>
        <w:rPr>
          <w:sz w:val="24"/>
        </w:rPr>
      </w:r>
    </w:p>
    <w:p>
      <w:pPr>
        <w:pStyle w:val="Normal"/>
        <w:ind w:start="720" w:end="0"/>
        <w:rPr>
          <w:sz w:val="24"/>
        </w:rPr>
      </w:pPr>
      <w:r>
        <w:rPr>
          <w:sz w:val="24"/>
        </w:rPr>
      </w:r>
    </w:p>
    <w:p>
      <w:pPr>
        <w:pStyle w:val="Normal"/>
        <w:rPr>
          <w:b/>
          <w:sz w:val="24"/>
        </w:rPr>
      </w:pPr>
      <w:r>
        <w:rPr>
          <w:b/>
          <w:sz w:val="24"/>
        </w:rPr>
        <w:t>We oppose:</w:t>
      </w:r>
    </w:p>
    <w:p>
      <w:pPr>
        <w:pStyle w:val="Normal"/>
        <w:rPr>
          <w:b/>
          <w:sz w:val="24"/>
        </w:rPr>
      </w:pPr>
      <w:r>
        <w:rPr>
          <w:b/>
          <w:sz w:val="24"/>
        </w:rPr>
      </w:r>
    </w:p>
    <w:p>
      <w:pPr>
        <w:pStyle w:val="Normal"/>
        <w:numPr>
          <w:ilvl w:val="0"/>
          <w:numId w:val="4"/>
        </w:numPr>
        <w:rPr>
          <w:sz w:val="24"/>
        </w:rPr>
      </w:pPr>
      <w:r>
        <w:rPr>
          <w:sz w:val="24"/>
        </w:rPr>
        <w:t>Any regulation of OTC derivatives dealers as such</w:t>
      </w:r>
    </w:p>
    <w:p>
      <w:pPr>
        <w:pStyle w:val="BodyTextIndent"/>
        <w:rPr/>
      </w:pPr>
      <w:r>
        <w:rPr/>
        <w:t>The OTC derivatives markets are functioning very smoothly today and there is no evidence of any need for further regulation.</w:t>
      </w:r>
    </w:p>
    <w:p>
      <w:pPr>
        <w:pStyle w:val="BodyTextIndent"/>
        <w:rPr/>
      </w:pPr>
      <w:r>
        <w:rPr/>
      </w:r>
    </w:p>
    <w:p>
      <w:pPr>
        <w:pStyle w:val="BodyTextIndent"/>
        <w:rPr/>
      </w:pPr>
      <w:r>
        <w:rPr/>
      </w:r>
    </w:p>
    <w:p>
      <w:pPr>
        <w:pStyle w:val="BodyTextIndent"/>
        <w:ind w:start="0" w:end="0"/>
        <w:rPr/>
      </w:pPr>
      <w:r>
        <w:rPr/>
        <w:t>It is probable that neither the Commissioner nor the Congressman will have a real understanding of energy commodity derivatives and how they are used or why they are important.  Any efforts to get them further along the road to understanding the derivatives we market and how they fit into our business as a whole would be productive.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1999-06-16T14:54:00Z</dcterms:created>
  <dc:creator>mtaylo1</dc:creator>
  <dc:description/>
  <dc:language>en-CA</dc:language>
  <cp:lastModifiedBy>mtaylo1</cp:lastModifiedBy>
  <cp:lastPrinted>1999-06-16T12:47:00Z</cp:lastPrinted>
  <dcterms:modified xsi:type="dcterms:W3CDTF">1999-06-16T15:27:00Z</dcterms:modified>
  <cp:revision>2</cp:revision>
  <dc:subject/>
  <dc:title>MEH Meetings with Commissioner Newsome and Congressman Stenholm –</dc:title>
</cp:coreProperties>
</file>