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1296" w:leader="none"/>
          <w:tab w:val="left" w:pos="4896" w:leader="none"/>
        </w:tabs>
        <w:rPr/>
      </w:pPr>
      <w:r>
        <w:rPr>
          <w:b/>
        </w:rPr>
        <w:tab/>
      </w:r>
      <w:r>
        <w:rPr/>
        <w:tab/>
        <w:tab/>
        <w:t xml:space="preserve">       </w:t>
        <w:tab/>
        <w:tab/>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b/>
          <w:u w:val="single"/>
        </w:rPr>
      </w:pPr>
      <w:r>
        <w:rPr>
          <w:b/>
          <w:u w:val="single"/>
        </w:rPr>
        <w:t>DRAFT DATED 05/19/00</w:t>
      </w:r>
    </w:p>
    <w:p>
      <w:pPr>
        <w:pStyle w:val="BodyText"/>
        <w:tabs>
          <w:tab w:val="clear" w:pos="720"/>
          <w:tab w:val="left" w:pos="1296" w:leader="none"/>
          <w:tab w:val="left" w:pos="4896" w:leader="none"/>
        </w:tabs>
        <w:rPr>
          <w:b/>
          <w:u w:val="single"/>
        </w:rPr>
      </w:pPr>
      <w:r>
        <w:rPr>
          <w:b/>
          <w:u w:val="single"/>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MASTER NATURAL GAS CONTRACT</w:t>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BY AND BETWEEN</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MIDWEST ENERGY HUB, L.L.C.</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AND</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t>THE PEOPLES GAS LIGHT AND COKE COMPANY</w:t>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jc w:val="center"/>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rPr/>
      </w:pPr>
      <w:r>
        <w:rPr/>
      </w:r>
    </w:p>
    <w:p>
      <w:pPr>
        <w:pStyle w:val="BodyText"/>
        <w:tabs>
          <w:tab w:val="clear" w:pos="720"/>
          <w:tab w:val="left" w:pos="1296" w:leader="none"/>
          <w:tab w:val="left" w:pos="4896" w:leader="none"/>
        </w:tabs>
        <w:jc w:val="center"/>
        <w:rPr/>
      </w:pPr>
      <w:r>
        <w:rPr/>
        <w:t>Dated:  ___________ , 2000</w:t>
      </w:r>
    </w:p>
    <w:p>
      <w:pPr>
        <w:pStyle w:val="BodyText"/>
        <w:tabs>
          <w:tab w:val="clear" w:pos="720"/>
          <w:tab w:val="left" w:pos="1296" w:leader="none"/>
          <w:tab w:val="left" w:pos="4896" w:leader="none"/>
        </w:tabs>
        <w:rPr>
          <w:rFonts w:eastAsia="Arial"/>
        </w:rPr>
      </w:pPr>
      <w:r>
        <w:rPr>
          <w:rFonts w:eastAsia="Arial"/>
        </w:rPr>
        <w:t xml:space="preserve">        </w:t>
      </w:r>
    </w:p>
    <w:p>
      <w:pPr>
        <w:pStyle w:val="BodyText"/>
        <w:tabs>
          <w:tab w:val="clear" w:pos="720"/>
          <w:tab w:val="decimal" w:pos="576" w:leader="none"/>
          <w:tab w:val="decimal" w:pos="2592" w:leader="none"/>
          <w:tab w:val="decimal" w:pos="4896" w:leader="none"/>
          <w:tab w:val="decimal" w:pos="7920" w:leader="none"/>
        </w:tabs>
        <w:rPr/>
      </w:pPr>
      <w:r>
        <w:rPr/>
      </w:r>
      <w:r>
        <w:br w:type="page"/>
      </w:r>
    </w:p>
    <w:p>
      <w:pPr>
        <w:pStyle w:val="BodyText"/>
        <w:tabs>
          <w:tab w:val="clear" w:pos="720"/>
          <w:tab w:val="decimal" w:pos="576" w:leader="none"/>
          <w:tab w:val="decimal" w:pos="2592" w:leader="none"/>
          <w:tab w:val="decimal" w:pos="4896" w:leader="none"/>
          <w:tab w:val="decimal" w:pos="7920" w:leader="none"/>
        </w:tabs>
        <w:jc w:val="center"/>
        <w:rPr/>
      </w:pPr>
      <w:r>
        <w:rPr/>
        <w:t>INDEX</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decimal" w:pos="2592" w:leader="none"/>
          <w:tab w:val="decimal" w:pos="4896" w:leader="none"/>
          <w:tab w:val="decimal" w:pos="7920" w:leader="none"/>
        </w:tabs>
        <w:rPr/>
      </w:pPr>
      <w:r>
        <w:rPr/>
        <w:tab/>
        <w:tab/>
        <w:tab/>
        <w:tab/>
      </w:r>
      <w:r>
        <w:rPr>
          <w:u w:val="single"/>
        </w:rPr>
        <w:t xml:space="preserve"> PAGE </w:t>
      </w:r>
    </w:p>
    <w:p>
      <w:pPr>
        <w:pStyle w:val="BodyText"/>
        <w:tabs>
          <w:tab w:val="clear" w:pos="720"/>
          <w:tab w:val="decimal" w:pos="576" w:leader="none"/>
          <w:tab w:val="decimal" w:pos="2592" w:leader="none"/>
          <w:tab w:val="decimal" w:pos="4896" w:leader="none"/>
          <w:tab w:val="decimal" w:pos="7920" w:leader="none"/>
        </w:tabs>
        <w:rPr/>
      </w:pPr>
      <w:r>
        <w:rPr/>
      </w:r>
    </w:p>
    <w:p>
      <w:pPr>
        <w:pStyle w:val="BodyText"/>
        <w:tabs>
          <w:tab w:val="clear" w:pos="720"/>
          <w:tab w:val="decimal" w:pos="576" w:leader="none"/>
          <w:tab w:val="left" w:pos="1582" w:leader="none"/>
          <w:tab w:val="left" w:pos="2577" w:leader="none"/>
          <w:tab w:val="decimal" w:pos="7560" w:leader="dot"/>
        </w:tabs>
        <w:rPr/>
      </w:pPr>
      <w:r>
        <w:rPr/>
        <w:tab/>
        <w:t>Article    I.</w:t>
        <w:tab/>
        <w:t>Definitions</w:t>
        <w:tab/>
        <w:t>1</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w:t>
        <w:tab/>
        <w:t xml:space="preserve">Effective Date and Term  </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III.</w:t>
        <w:tab/>
        <w:t xml:space="preserve">Performance Obligation And Liquidated Damages </w:t>
      </w:r>
    </w:p>
    <w:p>
      <w:pPr>
        <w:pStyle w:val="BodyText"/>
        <w:tabs>
          <w:tab w:val="clear" w:pos="720"/>
          <w:tab w:val="decimal" w:pos="576" w:leader="none"/>
          <w:tab w:val="left" w:pos="1582" w:leader="none"/>
          <w:tab w:val="left" w:pos="2577" w:leader="none"/>
          <w:tab w:val="decimal" w:pos="7560" w:leader="dot"/>
        </w:tabs>
        <w:rPr/>
      </w:pPr>
      <w:r>
        <w:rPr/>
        <w:tab/>
        <w:tab/>
        <w:t>for Non-Performance And Defaults and Remedies</w:t>
        <w:tab/>
        <w:t>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IV.</w:t>
        <w:tab/>
        <w:t>Quantity</w:t>
        <w:tab/>
        <w:t>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w:t>
        <w:tab/>
        <w:t>Price</w:t>
        <w:tab/>
        <w:t>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decimal" w:pos="7560" w:leader="dot"/>
        </w:tabs>
        <w:rPr/>
      </w:pPr>
      <w:r>
        <w:rPr/>
        <w:tab/>
        <w:t>Article   VI.</w:t>
        <w:tab/>
        <w:t>Quality</w:t>
        <w:tab/>
        <w:t>10</w:t>
      </w:r>
    </w:p>
    <w:p>
      <w:pPr>
        <w:pStyle w:val="BodyText"/>
        <w:tabs>
          <w:tab w:val="clear" w:pos="720"/>
          <w:tab w:val="decimal" w:pos="576" w:leader="none"/>
          <w:tab w:val="left" w:pos="1582"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w:t>
        <w:tab/>
        <w:t xml:space="preserve">Delivery Conditions </w:t>
        <w:tab/>
        <w:t>10</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VIII.</w:t>
        <w:tab/>
        <w:t>Measurement of Gas</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IX.</w:t>
        <w:tab/>
        <w:t>Billing and Payment</w:t>
        <w:tab/>
        <w:t>12</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w:t>
        <w:tab/>
        <w:t>Notices</w:t>
        <w:tab/>
        <w:t xml:space="preserve">  </w:t>
        <w:tab/>
        <w:t>13</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w:t>
        <w:tab/>
        <w:t>Force Majeure</w:t>
        <w:tab/>
        <w:t>14</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w:t>
        <w:tab/>
        <w:t>Title to Gas</w:t>
        <w:tab/>
        <w:t>16</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XIII.</w:t>
        <w:tab/>
        <w:t>Government Regulation</w:t>
        <w:tab/>
        <w:t>16</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XIV.</w:t>
        <w:tab/>
        <w:t xml:space="preserve">Confidentiality </w:t>
        <w:tab/>
        <w:t>18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XV.</w:t>
        <w:tab/>
        <w:t xml:space="preserve">Governing Law </w:t>
        <w:tab/>
        <w:t>18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w:t>
        <w:tab/>
        <w:t>Financial Responsibility</w:t>
        <w:tab/>
        <w:t>18</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XVII.</w:t>
        <w:tab/>
        <w:t>Condition Precedent</w:t>
        <w:tab/>
        <w:t>19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Article XVIII.</w:t>
        <w:tab/>
        <w:t>Dispute Resolution</w:t>
        <w:tab/>
        <w:t>19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left" w:pos="1582" w:leader="none"/>
          <w:tab w:val="left" w:pos="2577" w:leader="none"/>
          <w:tab w:val="decimal" w:pos="7560" w:leader="dot"/>
        </w:tabs>
        <w:rPr/>
      </w:pPr>
      <w:r>
        <w:rPr/>
        <w:tab/>
        <w:t>Article  XIX.</w:t>
        <w:tab/>
        <w:t>Miscellaneous</w:t>
        <w:tab/>
        <w:t>19</w:t>
      </w:r>
    </w:p>
    <w:p>
      <w:pPr>
        <w:pStyle w:val="BodyText"/>
        <w:tabs>
          <w:tab w:val="clear" w:pos="720"/>
          <w:tab w:val="decimal" w:pos="576" w:leader="none"/>
          <w:tab w:val="left" w:pos="1582" w:leader="none"/>
          <w:tab w:val="left" w:pos="2577" w:leader="none"/>
          <w:tab w:val="decimal" w:pos="7560" w:leader="dot"/>
        </w:tabs>
        <w:rPr/>
      </w:pPr>
      <w:r>
        <w:rPr/>
      </w:r>
    </w:p>
    <w:p>
      <w:pPr>
        <w:pStyle w:val="BodyText"/>
        <w:tabs>
          <w:tab w:val="clear" w:pos="720"/>
          <w:tab w:val="decimal" w:pos="576" w:leader="none"/>
          <w:tab w:val="decimal" w:pos="7560" w:leader="dot"/>
        </w:tabs>
        <w:rPr/>
      </w:pPr>
      <w:r>
        <w:rPr/>
        <w:t>Exhibit A</w:t>
        <w:tab/>
        <w:t>20</w:t>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BodyText"/>
        <w:tabs>
          <w:tab w:val="clear" w:pos="720"/>
          <w:tab w:val="decimal" w:pos="576" w:leader="none"/>
          <w:tab w:val="decimal" w:pos="2592" w:leader="none"/>
          <w:tab w:val="decimal" w:pos="4896" w:leader="none"/>
          <w:tab w:val="decimal" w:pos="7920" w:leader="none"/>
        </w:tabs>
        <w:rPr/>
      </w:pPr>
      <w:r>
        <w:rPr/>
      </w:r>
    </w:p>
    <w:p>
      <w:pPr>
        <w:pStyle w:val="Normal"/>
        <w:widowControl w:val="false"/>
        <w:tabs>
          <w:tab w:val="clear" w:pos="720"/>
          <w:tab w:val="left" w:pos="900" w:leader="none"/>
          <w:tab w:val="left" w:pos="1800" w:leader="none"/>
          <w:tab w:val="left" w:pos="5037" w:leader="none"/>
        </w:tabs>
        <w:spacing w:lineRule="atLeast" w:line="360" w:before="0" w:after="144"/>
        <w:rPr/>
      </w:pPr>
      <w:r>
        <w:rPr/>
        <w:tab/>
        <w:t xml:space="preserve">This Master Natural Gas Contract (“Master Contract”) is entered into and effective this day of _______, 2000, by and between Midwest Energy Hub, L.L.C. (“MEH”) and The Peoples Gas Light and Coke Company (“Peoples Gas”).  </w:t>
      </w:r>
      <w:r>
        <w:rPr>
          <w:color w:val="000000"/>
          <w:lang w:eastAsia="en-US"/>
        </w:rPr>
        <w:t>Either party may be a "Buyer" or "Seller" under this Master Contract.  As used in this Master Contract, the term "Buyer" refers to the party receiving and buying gas and the term "Seller" refers to the party delivering and selling gas.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color w:val="000000"/>
          <w:lang w:eastAsia="en-US"/>
        </w:rPr>
      </w:pPr>
      <w:r>
        <w:rPr>
          <w:color w:val="000000"/>
          <w:lang w:eastAsia="en-US"/>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jc w:val="center"/>
        <w:rPr/>
      </w:pPr>
      <w:r>
        <w:rPr>
          <w:b/>
          <w:u w:val="single"/>
        </w:rPr>
        <w:t>WITNESSETH</w:t>
      </w:r>
      <w:r>
        <w:rPr>
          <w:b/>
        </w:rPr>
        <w:t>:</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Peoples Gas and MEH periodically contract for and/or own gas supply and capacity-related assets;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Peoples Gas and MEH desire to enter into firm and/or interruptible purchase and sale transactions that optimize the use of their gas supply and capacity assets; and</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ind w:firstLine="720" w:end="0"/>
        <w:rPr/>
      </w:pPr>
      <w:r>
        <w:rPr/>
        <w:t>WHEREAS, the parties desire to enter into a master contract that will govern the terms or such transactions;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NOW, THEREFORE, in consideration of the agreements and covenants herein set forth, Seller and Buyer agree to enter into transactions in accordance with the further provisions of this Master Contract.</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w:t>
      </w:r>
    </w:p>
    <w:p>
      <w:pPr>
        <w:pStyle w:val="Heading"/>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DEFINITIONS</w:t>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Unless a different definition is expressly stated, the following terms, where used in this Master Contract, and in all Transaction Confirmations, exhibits, recitals, appendices and amendments related to this Master Contract, shall have the following meaning:</w:t>
      </w:r>
    </w:p>
    <w:p>
      <w:pPr>
        <w:pStyle w:val="BodyText"/>
        <w:tabs>
          <w:tab w:val="left" w:pos="720" w:leader="none"/>
          <w:tab w:val="left" w:pos="1008" w:leader="none"/>
        </w:tabs>
        <w:spacing w:lineRule="auto" w:line="360"/>
        <w:rPr/>
      </w:pPr>
      <w:r>
        <w:rPr/>
        <w:t>1.</w:t>
        <w:tab/>
        <w:t>“Btu” shall have the meaning set forth in Receiving Pipeline’s Tariff.</w:t>
      </w:r>
    </w:p>
    <w:p>
      <w:pPr>
        <w:pStyle w:val="BodyText"/>
        <w:tabs>
          <w:tab w:val="left" w:pos="720" w:leader="none"/>
          <w:tab w:val="left" w:pos="1008" w:leader="none"/>
        </w:tabs>
        <w:spacing w:lineRule="auto" w:line="360"/>
        <w:rPr/>
      </w:pPr>
      <w:r>
        <w:rPr/>
        <w:t>2.</w:t>
        <w:tab/>
        <w:t>“Business Day” shall mean any day except Saturdays, Sundays and statutory or legal holidays observed in the municipalities of either party’s offices as shown in Article X, and each such day shall commence at 8:00 a.m. Central Time (local time in Chicago, Illinois) and end at 5:00 p.m. Central Time.</w:t>
      </w:r>
    </w:p>
    <w:p>
      <w:pPr>
        <w:pStyle w:val="BodyText"/>
        <w:tabs>
          <w:tab w:val="left" w:pos="720" w:leader="none"/>
          <w:tab w:val="left" w:pos="1008" w:leader="none"/>
        </w:tabs>
        <w:spacing w:lineRule="auto" w:line="360"/>
        <w:rPr/>
      </w:pPr>
      <w:r>
        <w:rPr/>
        <w:t>3.</w:t>
        <w:tab/>
        <w:t>“Commodity Charge” shall have the meaning ascribed to it in the applicable Transaction Confirmation.</w:t>
      </w:r>
    </w:p>
    <w:p>
      <w:pPr>
        <w:pStyle w:val="BodyText"/>
        <w:tabs>
          <w:tab w:val="left" w:pos="720" w:leader="none"/>
          <w:tab w:val="left" w:pos="1008" w:leader="none"/>
        </w:tabs>
        <w:spacing w:lineRule="auto" w:line="360"/>
        <w:rPr/>
      </w:pPr>
      <w:r>
        <w:rPr/>
        <w:t>4.</w:t>
        <w:tab/>
        <w:t>“Daily Contract Quantity” shall mean the maximum quantity of gas per Day (or such lesser period as the parties may agree upon in any Transaction Confirmation) that a party shall be obligated to make available to the other party.</w:t>
      </w:r>
    </w:p>
    <w:p>
      <w:pPr>
        <w:pStyle w:val="NumberList"/>
        <w:tabs>
          <w:tab w:val="left" w:pos="720" w:leader="none"/>
          <w:tab w:val="left" w:pos="1008" w:leader="none"/>
          <w:tab w:val="left" w:pos="141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“Daily Price” shall mean the amount set forth in “Gas Daily” under the heading “Daily Price Survey”, under the listing applicable to the geographic location closest in proximity to the Delivery Point(s) specified in the applicable Transaction Confirmation for the relevant Day and using the Midpoint column.  Gas purchased and sold for gas  on any Day on which “Gas Daily” was not published shall be determined by the issue of “Gas Daily” first published after such Day.  Provided, however, that a “Gas Daily” price based on a transaction date from one month shall not be applied to deliveries on a Day in a subsequent month; in that event, the issue of “Gas Daily” first published after such Day based on a transaction date from the same month shall be used.  The “transaction date” shall be the date listed at the top of the column entitled “Midpoint” in the row entitled “Trans. date”.  </w:t>
      </w:r>
    </w:p>
    <w:p>
      <w:pPr>
        <w:pStyle w:val="BodyText"/>
        <w:tabs>
          <w:tab w:val="left" w:pos="720" w:leader="none"/>
          <w:tab w:val="left" w:pos="1008" w:leader="none"/>
        </w:tabs>
        <w:spacing w:lineRule="auto" w:line="360"/>
        <w:rPr/>
      </w:pPr>
      <w:r>
        <w:rPr/>
        <w:t>6.</w:t>
        <w:tab/>
        <w:t>“Day” or “Gas Day” shall have the meaning set forth in the Receiving Pipeline’s Tariff.</w:t>
      </w:r>
    </w:p>
    <w:p>
      <w:pPr>
        <w:pStyle w:val="BodyText"/>
        <w:tabs>
          <w:tab w:val="left" w:pos="720" w:leader="none"/>
          <w:tab w:val="left" w:pos="1008" w:leader="none"/>
        </w:tabs>
        <w:spacing w:lineRule="auto" w:line="360"/>
        <w:rPr/>
      </w:pPr>
      <w:r>
        <w:rPr/>
        <w:t>7.</w:t>
        <w:tab/>
        <w:t>“Delivering Pipeline" shall mean the pipeline delivering gas at the Delivery Point(s).</w:t>
      </w:r>
    </w:p>
    <w:p>
      <w:pPr>
        <w:pStyle w:val="BodyText"/>
        <w:tabs>
          <w:tab w:val="left" w:pos="720" w:leader="none"/>
          <w:tab w:val="left" w:pos="1008" w:leader="none"/>
        </w:tabs>
        <w:spacing w:lineRule="auto" w:line="360"/>
        <w:rPr/>
      </w:pPr>
      <w:r>
        <w:rPr/>
        <w:t>8.</w:t>
        <w:tab/>
        <w:t>“Delivering Pipeline’s Tariff” shall mean the Federal Energy Regulatory Commission-approved tariff or operating statement, as revised from time to time, of Delivering Pipeline.</w:t>
      </w:r>
    </w:p>
    <w:p>
      <w:pPr>
        <w:pStyle w:val="BodyText"/>
        <w:tabs>
          <w:tab w:val="left" w:pos="720" w:leader="none"/>
          <w:tab w:val="left" w:pos="1008" w:leader="none"/>
        </w:tabs>
        <w:spacing w:lineRule="auto" w:line="360"/>
        <w:rPr/>
      </w:pPr>
      <w:r>
        <w:rPr/>
        <w:t>9.</w:t>
        <w:tab/>
        <w:t>“Delivery Point” shall mean the point(s) identified in the applicable Transaction Confirmation at which Seller tenders gas for delivery under this Master Contract.  The Delivery Point may be either a Primary Delivery Point or a Secondary Delivery Point as defined in the Transaction Confirmation and pursuant to Article VII.</w:t>
      </w:r>
    </w:p>
    <w:p>
      <w:pPr>
        <w:pStyle w:val="Normal"/>
        <w:widowControl w:val="false"/>
        <w:tabs>
          <w:tab w:val="left" w:pos="720" w:leader="none"/>
          <w:tab w:val="left" w:pos="1800" w:leader="none"/>
          <w:tab w:val="left" w:pos="2880" w:leader="none"/>
          <w:tab w:val="left" w:pos="5037" w:leader="none"/>
        </w:tabs>
        <w:spacing w:lineRule="auto" w:line="360"/>
        <w:rPr/>
      </w:pPr>
      <w:r>
        <w:rPr/>
        <w:t>10.</w:t>
        <w:tab/>
      </w:r>
      <w:r>
        <w:rPr>
          <w:color w:val="000000"/>
          <w:lang w:eastAsia="en-US"/>
        </w:rPr>
        <w:t xml:space="preserve">"Firm Performance Obligation" shall mean that either party may only interrupt its performance to the extent that such performance is prevented for reasons of </w:t>
      </w:r>
      <w:r>
        <w:rPr>
          <w:i/>
          <w:color w:val="000000"/>
          <w:lang w:eastAsia="en-US"/>
        </w:rPr>
        <w:t>force majeure</w:t>
      </w:r>
      <w:r>
        <w:rPr>
          <w:color w:val="000000"/>
          <w:lang w:eastAsia="en-US"/>
        </w:rPr>
        <w:t>.</w:t>
      </w:r>
    </w:p>
    <w:p>
      <w:pPr>
        <w:pStyle w:val="Normal"/>
        <w:widowControl w:val="false"/>
        <w:tabs>
          <w:tab w:val="left" w:pos="720" w:leader="none"/>
          <w:tab w:val="left" w:pos="1800" w:leader="none"/>
          <w:tab w:val="left" w:pos="2880" w:leader="none"/>
          <w:tab w:val="left" w:pos="5037" w:leader="none"/>
        </w:tabs>
        <w:spacing w:lineRule="auto" w:line="360"/>
        <w:rPr/>
      </w:pPr>
      <w:r>
        <w:rPr/>
        <w:t>11.</w:t>
        <w:tab/>
      </w:r>
      <w:r>
        <w:rPr>
          <w:color w:val="000000"/>
          <w:lang w:eastAsia="en-US"/>
        </w:rPr>
        <w:t xml:space="preserve">"Interruptible Performance Obligation" shall mean that either party may interrupt its performance at any time for any reason, whether or not caused by an event of </w:t>
      </w:r>
      <w:r>
        <w:rPr>
          <w:i/>
          <w:color w:val="000000"/>
          <w:lang w:eastAsia="en-US"/>
        </w:rPr>
        <w:t>force majeure</w:t>
      </w:r>
      <w:r>
        <w:rPr>
          <w:color w:val="000000"/>
          <w:lang w:eastAsia="en-US"/>
        </w:rPr>
        <w:t>; provided, however, that such party shall interrupt its performance in a fair and reasonable manner giving similar treatment to similarly affected customers.</w:t>
      </w:r>
    </w:p>
    <w:p>
      <w:pPr>
        <w:pStyle w:val="BodyText"/>
        <w:numPr>
          <w:ilvl w:val="0"/>
          <w:numId w:val="3"/>
        </w:numPr>
        <w:tabs>
          <w:tab w:val="clear" w:pos="720"/>
          <w:tab w:val="left" w:pos="1008" w:leader="none"/>
        </w:tabs>
        <w:spacing w:lineRule="auto" w:line="360"/>
        <w:rPr/>
      </w:pPr>
      <w:r>
        <w:rPr/>
        <w:t>“</w:t>
      </w:r>
      <w:r>
        <w:rPr/>
        <w:t>MMBtu” shall mean one million (1,000,000) Btu.</w:t>
      </w:r>
    </w:p>
    <w:p>
      <w:pPr>
        <w:pStyle w:val="BodyText"/>
        <w:numPr>
          <w:ilvl w:val="0"/>
          <w:numId w:val="3"/>
        </w:numPr>
        <w:tabs>
          <w:tab w:val="left" w:pos="720" w:leader="none"/>
          <w:tab w:val="left" w:pos="1008" w:leader="none"/>
        </w:tabs>
        <w:spacing w:lineRule="auto" w:line="360"/>
        <w:ind w:hanging="0" w:start="0" w:end="0"/>
        <w:rPr/>
      </w:pPr>
      <w:r>
        <w:rPr/>
        <w:t>“</w:t>
      </w:r>
      <w:r>
        <w:rPr/>
        <w:t>Natural gas” or “gas” shall have the meaning set forth in the Receiving Pipeline’s Tariff.</w:t>
      </w:r>
    </w:p>
    <w:p>
      <w:pPr>
        <w:pStyle w:val="BodyText"/>
        <w:numPr>
          <w:ilvl w:val="0"/>
          <w:numId w:val="3"/>
        </w:numPr>
        <w:tabs>
          <w:tab w:val="left" w:pos="720" w:leader="none"/>
          <w:tab w:val="left" w:pos="1008" w:leader="none"/>
        </w:tabs>
        <w:spacing w:lineRule="auto" w:line="360"/>
        <w:ind w:hanging="0" w:start="0" w:end="0"/>
        <w:rPr/>
      </w:pPr>
      <w:r>
        <w:rPr/>
        <w:t>“</w:t>
      </w:r>
      <w:r>
        <w:rPr/>
        <w:t xml:space="preserve">Nominated Daily Quantity” shall mean the portion of the Daily Contract Quantity that Buyer elects to schedule on a daily basis (or such lesser period as the parties may agree upon in any Transaction Confirmation) pursuant to the Transaction Confirmation and Article IV. </w:t>
      </w:r>
    </w:p>
    <w:p>
      <w:pPr>
        <w:pStyle w:val="BodyText"/>
        <w:numPr>
          <w:ilvl w:val="0"/>
          <w:numId w:val="3"/>
        </w:numPr>
        <w:tabs>
          <w:tab w:val="left" w:pos="720" w:leader="none"/>
          <w:tab w:val="left" w:pos="1008" w:leader="none"/>
        </w:tabs>
        <w:spacing w:lineRule="auto" w:line="360"/>
        <w:ind w:hanging="0" w:start="0" w:end="0"/>
        <w:rPr/>
      </w:pPr>
      <w:r>
        <w:rPr/>
        <w:t>“</w:t>
      </w:r>
      <w:r>
        <w:rPr/>
        <w:t xml:space="preserve">Primary Delivery Point” shall mean the point at which Seller is required to make the Nominated Daily Quantity available, absent prior agreement of the parties, confirmed in writing, to make gas available at a Secondary Delivery Point. </w:t>
      </w:r>
    </w:p>
    <w:p>
      <w:pPr>
        <w:pStyle w:val="BodyText"/>
        <w:numPr>
          <w:ilvl w:val="0"/>
          <w:numId w:val="3"/>
        </w:numPr>
        <w:tabs>
          <w:tab w:val="left" w:pos="720" w:leader="none"/>
          <w:tab w:val="left" w:pos="1008" w:leader="none"/>
        </w:tabs>
        <w:spacing w:lineRule="auto" w:line="360"/>
        <w:ind w:hanging="0" w:start="0" w:end="0"/>
        <w:rPr/>
      </w:pPr>
      <w:r>
        <w:rPr/>
        <w:t>"Receiving Pipeline" shall mean the pipeline receiving gas at the Delivery Point(s) as such pipeline is identified in the applicable Transaction Confirmation, or absent such Receiving Pipeline, the pipeline delivering gas at the Delivery Point(s).</w:t>
      </w:r>
    </w:p>
    <w:p>
      <w:pPr>
        <w:pStyle w:val="BodyText"/>
        <w:numPr>
          <w:ilvl w:val="0"/>
          <w:numId w:val="3"/>
        </w:numPr>
        <w:tabs>
          <w:tab w:val="left" w:pos="720" w:leader="none"/>
          <w:tab w:val="left" w:pos="1008" w:leader="none"/>
        </w:tabs>
        <w:spacing w:lineRule="auto" w:line="360"/>
        <w:ind w:hanging="0" w:start="0" w:end="0"/>
        <w:rPr/>
      </w:pPr>
      <w:r>
        <w:rPr/>
        <w:t>“</w:t>
      </w:r>
      <w:r>
        <w:rPr/>
        <w:t>Receiving Pipeline’s Tariff” shall mean the Federal Energy Regulatory Commission-approved tariff or operating statement, as revised from time to time, of Receiving Pipeline.</w:t>
      </w:r>
    </w:p>
    <w:p>
      <w:pPr>
        <w:pStyle w:val="BodyText"/>
        <w:numPr>
          <w:ilvl w:val="0"/>
          <w:numId w:val="3"/>
        </w:numPr>
        <w:tabs>
          <w:tab w:val="left" w:pos="720" w:leader="none"/>
          <w:tab w:val="left" w:pos="1008" w:leader="none"/>
        </w:tabs>
        <w:spacing w:lineRule="auto" w:line="360"/>
        <w:ind w:hanging="0" w:start="0" w:end="0"/>
        <w:rPr/>
      </w:pPr>
      <w:r>
        <w:rPr/>
        <w:t>“</w:t>
      </w:r>
      <w:r>
        <w:rPr/>
        <w:t>Secondary Delivery Point” shall mean one or more points, in place of the Primary Delivery Point, at which Seller, by prior agreement of the parties, confirmed in writing, may make the Nominated Daily Quantity available.</w:t>
      </w:r>
    </w:p>
    <w:p>
      <w:pPr>
        <w:pStyle w:val="BodyText"/>
        <w:numPr>
          <w:ilvl w:val="0"/>
          <w:numId w:val="3"/>
        </w:numPr>
        <w:tabs>
          <w:tab w:val="left" w:pos="720" w:leader="none"/>
          <w:tab w:val="left" w:pos="1008" w:leader="none"/>
        </w:tabs>
        <w:spacing w:lineRule="auto" w:line="360"/>
        <w:ind w:hanging="0" w:start="0" w:end="0"/>
        <w:rPr/>
      </w:pPr>
      <w:r>
        <w:rPr/>
        <w:t>“</w:t>
      </w:r>
      <w:r>
        <w:rPr/>
        <w:t>Transaction” shall mean an agreement between Seller and Buyer for the purchase and sale of gas.  The terms and conditions of each Transaction shall be set forth in a Transaction Confirmation and, except as otherwise specified in such Transaction Confirmation, shall be subject to this Master Contract.</w:t>
      </w:r>
    </w:p>
    <w:p>
      <w:pPr>
        <w:pStyle w:val="BodyText"/>
        <w:numPr>
          <w:ilvl w:val="0"/>
          <w:numId w:val="3"/>
        </w:numPr>
        <w:tabs>
          <w:tab w:val="left" w:pos="720" w:leader="none"/>
          <w:tab w:val="left" w:pos="1008" w:leader="none"/>
        </w:tabs>
        <w:spacing w:lineRule="auto" w:line="360"/>
        <w:ind w:hanging="0" w:start="0" w:end="0"/>
        <w:rPr/>
      </w:pPr>
      <w:r>
        <w:rPr/>
        <w:t>“</w:t>
      </w:r>
      <w:r>
        <w:rPr/>
        <w:t>Transaction Confirmation” shall mean a document substantially in the form attached to and made a part of this Master Contract as Exhibit A.  Each such Transaction Confirmation shall be made a part of and subject to this Master Contract.  This Master Contract shall be deemed an individual contract between Seller and Buyer as to each Transaction Confirmation.</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EFFECTIVE DATE AND TERM</w:t>
      </w:r>
    </w:p>
    <w:p>
      <w:pPr>
        <w:pStyle w:val="NumberList"/>
        <w:tabs>
          <w:tab w:val="left" w:pos="720" w:leader="none"/>
          <w:tab w:val="left" w:pos="1008" w:leader="none"/>
        </w:tabs>
        <w:spacing w:lineRule="auto" w:line="360" w:before="0" w:after="0"/>
        <w:ind w:hanging="0" w:end="0"/>
        <w:rPr/>
      </w:pPr>
      <w:r>
        <w:rPr/>
        <w:t>1.</w:t>
        <w:tab/>
        <w:t>THIS MASTER CONTRACT SHALL BE EFFECTIVE FOR AN INITIAL ONE-YEAR PERIOD COMMENCING ON THE DATE THAT THE CONDITION PRECEDENT SET FORTH IN ARTICLE XVII IS SATISFIED AND FROM YEAR TO YEAR THEREAFTER, SUBJECT TO THE FURTHER PROVISIONS OF THIS MASTER CONTRACT AND SUBJECT TO THE RIGHT OF EITHER PARTY TO TERMINATE THIS MASTER CONTRACT ON THIRTY (30) DAYS’ WRITTEN NOTICE TO THE OTHER PARTY PRIOR TO THE END OF THE INITIAL TERM OR OF ANY YEAR-TO-YEAR EXTENSION OF SUCH INITIAL TERM.  Notwithstanding the foregoing, no such termination shall have any effect on a currently effective Transaction Confirmation and, as to each such Transaction Confirmation, the terms and conditions of this Master Contract shall continue to govern.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b w:val="false"/>
        </w:rPr>
      </w:pPr>
      <w:r>
        <w:rPr/>
        <w:t>PERFORMANCE OBLIGATION AND</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 xml:space="preserve">LIQUIDATED DAMAGES FOR NON-PERFORMANCE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before="0" w:after="0"/>
        <w:rPr/>
      </w:pPr>
      <w:r>
        <w:rPr/>
        <w:t>AND DEFAULTS AND REMEDIES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pPr>
      <w:r>
        <w:rPr/>
      </w:r>
    </w:p>
    <w:p>
      <w:pPr>
        <w:pStyle w:val="Normal"/>
        <w:numPr>
          <w:ilvl w:val="0"/>
          <w:numId w:val="4"/>
        </w:numPr>
        <w:spacing w:lineRule="auto" w:line="360"/>
        <w:ind w:hanging="0" w:start="0" w:end="0"/>
        <w:rPr>
          <w:color w:val="000000"/>
          <w:lang w:eastAsia="en-US"/>
        </w:rPr>
      </w:pPr>
      <w:r>
        <w:rPr/>
        <w:t xml:space="preserve">The Transaction Confirmation shall specify whether the applicable Transaction is a Firm Performance Obligation or an Interruptible Performance Obligation or a combination.  </w:t>
      </w:r>
    </w:p>
    <w:p>
      <w:pPr>
        <w:pStyle w:val="Normal"/>
        <w:numPr>
          <w:ilvl w:val="0"/>
          <w:numId w:val="4"/>
        </w:numPr>
        <w:spacing w:lineRule="auto" w:line="360"/>
        <w:ind w:hanging="0" w:start="0" w:end="0"/>
        <w:rPr>
          <w:color w:val="000000"/>
          <w:lang w:eastAsia="en-US"/>
        </w:rPr>
      </w:pPr>
      <w:r>
        <w:rPr/>
        <w:t xml:space="preserve">For a Firm Performance Obligation and except as otherwise specified in a Transaction Confirmation, if, on any Day during the months of November through March, for any reason other than </w:t>
      </w:r>
      <w:r>
        <w:rPr>
          <w:i/>
        </w:rPr>
        <w:t>force majeure</w:t>
      </w:r>
      <w:r>
        <w:rPr/>
        <w:t xml:space="preserve"> or non-performance by Buyer, Seller shall fail to tender for delivery ninety-five percent (95%) of the NDQ, then Seller shall pay Buyer liquidated damages equal to the sum of: (i) the product of (a) the number of MMBtu obtained by subtracting the quantity tendered by Seller on such Day from the NDQ, and (b) the greater of: (A) one hundred percent (100%) of the Commodity Charge per MMBtu or (B) one hundred percent (100%) of the Daily Price plus the locational differential, if applicable plus (ii) the reservation charge or demand charge per MMBtu, if applicable plus (iii) any additional transportation charges to Buyer from Receiving Pipeline resulting from Seller's failure to deliver.</w:t>
      </w:r>
    </w:p>
    <w:p>
      <w:pPr>
        <w:pStyle w:val="Normal"/>
        <w:spacing w:lineRule="auto" w:line="360"/>
        <w:rPr/>
      </w:pPr>
      <w:r>
        <w:rPr/>
        <w:t>3.</w:t>
        <w:tab/>
        <w:t xml:space="preserve">For a Firm Performance Obligation and except as otherwise specified in a Transaction Confirmation, if during the period of April through October, for any reason other than </w:t>
      </w:r>
      <w:r>
        <w:rPr>
          <w:i/>
        </w:rPr>
        <w:t>force majeure</w:t>
      </w:r>
      <w:r>
        <w:rPr/>
        <w:t xml:space="preserve"> or non-performance by Buyer, Seller fails to tender for delivery a minimum for the month of ninety-five percent (95%) of the sum of the NDQs for such month, then Seller shall be liable to pay Buyer liquidated damages equal to the sum of:  (i) the product of: (a) the number of MMBtu obtained by subtracting the quantity tendered by Seller during such month from the sum of the NDQs, and (b) fifty percent (50%) of the Commodity Charge per MMBtu, plus (ii) the reservation charge or demand charge per MMBtu, if applicable plus (iii) any additional transportation charges to Buyer from Receiving Pipeline resulting from Seller's failure to deliver.</w:t>
      </w:r>
    </w:p>
    <w:p>
      <w:pPr>
        <w:pStyle w:val="Normal"/>
        <w:numPr>
          <w:ilvl w:val="0"/>
          <w:numId w:val="1"/>
        </w:numPr>
        <w:tabs>
          <w:tab w:val="left" w:pos="720" w:leader="none"/>
        </w:tabs>
        <w:spacing w:lineRule="auto" w:line="360"/>
        <w:ind w:hanging="0" w:start="0" w:end="0"/>
        <w:rPr/>
      </w:pPr>
      <w:r>
        <w:rPr/>
        <w:t xml:space="preserve">For a Firm Performance Obligation and except as otherwise specified in a Transaction Confirmation, if, on any Day during the months of November through March, for any reason other than </w:t>
      </w:r>
      <w:r>
        <w:rPr>
          <w:i/>
        </w:rPr>
        <w:t>force majeure</w:t>
      </w:r>
      <w:r>
        <w:rPr/>
        <w:t xml:space="preserve"> or non-performance by Seller, Buyer shall fail to take receipt of ninety-five percent (95%) of the NDQ, then Buyer shall be liable to pay Seller liquidated damages equal to the sum of: (i) the product of:  (a) the number of MMBtu obtained by subtracting the quantity tendered by Seller on such Day from the NDQ, and (b) the greater of: (A) one hundred percent (100%) of the Commodity Charge per MMBtu or (B) one hundred percent (100%) of the Daily Price plus the locational differential, if applicable plus (ii) the reservation charge or demand charge per MMBtu, if applicable plus (iii) any additional transportation charges to Seller from Delivering Pipeline resulting from Buyer's failure to take receipt of gas properly tendered by Seller.</w:t>
      </w:r>
    </w:p>
    <w:p>
      <w:pPr>
        <w:pStyle w:val="Normal"/>
        <w:numPr>
          <w:ilvl w:val="0"/>
          <w:numId w:val="1"/>
        </w:numPr>
        <w:tabs>
          <w:tab w:val="left" w:pos="720" w:leader="none"/>
        </w:tabs>
        <w:spacing w:lineRule="auto" w:line="360"/>
        <w:ind w:hanging="0" w:start="0" w:end="0"/>
        <w:rPr/>
      </w:pPr>
      <w:r>
        <w:rPr/>
        <w:t xml:space="preserve">For a Firm Performance Obligation and except as otherwise specified in a Transaction Confirmation, if during the period of April through October, for any reason other than </w:t>
      </w:r>
      <w:r>
        <w:rPr>
          <w:i/>
        </w:rPr>
        <w:t>force majeure</w:t>
      </w:r>
      <w:r>
        <w:rPr/>
        <w:t xml:space="preserve"> or non-performance by Seller, Buyer fails to take receipt from Seller a minimum for the month of ninety-five percent (95%) of the sum of NDQs for such month, then Buyer shall be liable to pay Seller liquidated damages equal to the sum of:  (i) the product of:  (a) the number of MMBtu obtained by subtracting the quantity received by Buyer during such month from the sum of NDQs, and (b) fifty percent (50%) of the Commodity Charge per MMBtu, plus (ii) the reservation charge or demand charge per MMBtu, if applicable plus (iii) any additional transportation charges to Seller from Transporter resulting from Buyer's failure to take receipt of gas properly tendered by Seller.</w:t>
      </w:r>
    </w:p>
    <w:p>
      <w:pPr>
        <w:pStyle w:val="BodyText"/>
        <w:spacing w:lineRule="auto" w:line="360"/>
        <w:rPr/>
      </w:pPr>
      <w:r>
        <w:rPr/>
        <w:t>6.</w:t>
        <w:tab/>
        <w:t>Subject to Article III.10 and except as otherwise specified in Article VII.5 and a Transaction Confirmation, the exclusive and sole remedy of the parties in the event of a breach of the Interruptible Performance Obligation shall be recovery of the following.  In the event of a breach by Seller, payment by Seller to Buyer in an amount equal to the sum of (a) any reservation charge or demand charge plus (b) the difference between the Daily Price and the Commodity Charge, adjusted for reasonable incremental transportation costs to or from the Delivery Point(s), multiplied by the quantity of gas agreed upon but not delivered by Seller.  If the Commodity Charge is equal to or greater than the Daily Price, then neither party shall have any liability to the other except that Buyer shall not be liable for payment of any reservation charge or demand charge to the extent of Seller’s breach.  In the event of a breach by Buyer, payment by Buyer to Seller in an amount equal to the difference between the Commodity Charge and the Daily Price, adjusted for reasonable incremental transportation costs to or from the Delivery Point(s), multiplied by the quantity of gas agreed upon but not taken by Buyer.  If the Daily Price is equal to or greater than the Commodity Charge, then neither party shall have any liability to the other.</w:t>
      </w:r>
    </w:p>
    <w:p>
      <w:pPr>
        <w:pStyle w:val="BodyText"/>
        <w:spacing w:lineRule="auto" w:line="360"/>
        <w:rPr/>
      </w:pPr>
      <w:r>
        <w:rPr/>
        <w:t>7.</w:t>
        <w:tab/>
        <w:t>Each Transaction Confirmation may specify liquidated damages for non-performance other than the failure to deliver or receive gas in accordance with the Transaction Confirmation.</w:t>
      </w:r>
    </w:p>
    <w:p>
      <w:pPr>
        <w:pStyle w:val="BodyText"/>
        <w:spacing w:lineRule="auto" w:line="360"/>
        <w:rPr/>
      </w:pPr>
      <w:r>
        <w:rPr/>
        <w:t>8.</w:t>
        <w:tab/>
        <w:t>Unless specifically stated in the Transaction Confirmation, the liquidated damages provided for by the Transaction Confirmation shall not be either party’s sole and exclusive remedy for non-performance other than the failure to deliver and receive gas in accordance with  the Transaction Confirmation.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9.</w:t>
        <w:tab/>
        <w:t xml:space="preserve">A party’s liabilities under Articles III and VII.5 and a Transaction Confirmation may be discharged through a credit or a debit to an invoice pursuant to Article IX.  </w:t>
      </w:r>
    </w:p>
    <w:p>
      <w:pPr>
        <w:pStyle w:val="Normal"/>
        <w:widowControl w:val="false"/>
        <w:tabs>
          <w:tab w:val="left" w:pos="720" w:leader="none"/>
          <w:tab w:val="left" w:pos="1800" w:leader="none"/>
          <w:tab w:val="left" w:pos="2880" w:leader="none"/>
          <w:tab w:val="left" w:pos="5037" w:leader="none"/>
        </w:tabs>
        <w:spacing w:lineRule="atLeast" w:line="360" w:before="0" w:after="144"/>
        <w:rPr/>
      </w:pPr>
      <w:r>
        <w:rPr/>
        <w:t>10.</w:t>
      </w:r>
      <w:r>
        <w:rPr>
          <w:b/>
        </w:rPr>
        <w:tab/>
      </w:r>
      <w:r>
        <w:rPr>
          <w:color w:val="000000"/>
          <w:lang w:eastAsia="en-US"/>
        </w:rPr>
        <w:t>In the event that a non-defaulting party rightfully terminates the Master Contract or any Transaction Confirmation, the non-defaulting party shall have the right to designate an early termination date ("Early Termination Date") as any date on or after the event of default.  Upon the Early Termination Date, the non-defaulting party shall have the right to liquidate any and all Transactions under this Master Contract (including any portion of a Transaction not yet fully delivered) then outstanding by:</w:t>
      </w:r>
    </w:p>
    <w:p>
      <w:pPr>
        <w:pStyle w:val="Normal"/>
        <w:widowControl w:val="false"/>
        <w:tabs>
          <w:tab w:val="clear" w:pos="720"/>
          <w:tab w:val="left" w:pos="900" w:leader="none"/>
          <w:tab w:val="left" w:pos="1800" w:leader="none"/>
          <w:tab w:val="left" w:pos="2880" w:leader="none"/>
          <w:tab w:val="left" w:pos="5037" w:leader="none"/>
        </w:tabs>
        <w:spacing w:lineRule="atLeast" w:line="360" w:before="0" w:after="144"/>
        <w:rPr>
          <w:color w:val="000000"/>
          <w:lang w:eastAsia="en-US"/>
        </w:rPr>
      </w:pPr>
      <w:r>
        <w:rPr>
          <w:color w:val="000000"/>
          <w:lang w:eastAsia="en-US"/>
        </w:rPr>
        <w:tab/>
        <w:tab/>
        <w:t>(i)</w:t>
        <w:tab/>
        <w:t>Closing out each Transaction being liquidated at its Market Value, as defined below,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w:t>
      </w:r>
    </w:p>
    <w:p>
      <w:pPr>
        <w:pStyle w:val="BodyTextIndent"/>
        <w:rPr/>
      </w:pPr>
      <w:r>
        <w:rPr/>
        <w:t>(ii)</w:t>
        <w:tab/>
        <w:t>Discounting each amount then due under clause (i) above to present value in a commercially reasonable manner as of the time of liquidation (to take account of the period between the date of liquidation and the date on which such amount would have otherwise been due pursuant to the relevant Transaction); and</w:t>
      </w:r>
    </w:p>
    <w:p>
      <w:pPr>
        <w:pStyle w:val="Normal"/>
        <w:widowControl w:val="false"/>
        <w:tabs>
          <w:tab w:val="clear" w:pos="720"/>
          <w:tab w:val="left" w:pos="900" w:leader="none"/>
          <w:tab w:val="left" w:pos="1800" w:leader="none"/>
          <w:tab w:val="left" w:pos="2880" w:leader="none"/>
          <w:tab w:val="left" w:pos="5037" w:leader="none"/>
        </w:tabs>
        <w:spacing w:lineRule="atLeast" w:line="360" w:before="0" w:after="144"/>
        <w:rPr>
          <w:color w:val="000000"/>
          <w:lang w:eastAsia="en-US"/>
        </w:rPr>
      </w:pPr>
      <w:r>
        <w:rPr>
          <w:color w:val="000000"/>
          <w:lang w:eastAsia="en-US"/>
        </w:rPr>
        <w:tab/>
        <w:tab/>
        <w:t>(iii)</w:t>
        <w:tab/>
        <w:t>Setting off or aggregating, as appropriate, any or all settlement payments (discounted as appropriate) and (at the election of the non-defaulting party) any or all other amounts owing between the parties under this Master Contract so that all such amounts are aggregated and/or netted to a single liquidated amount payable by one party to the other.  The net amount due any such liquidation shall be paid by the close of business on the Business Day following the Early Termination Date.</w:t>
      </w:r>
    </w:p>
    <w:p>
      <w:pPr>
        <w:pStyle w:val="Normal"/>
        <w:widowControl w:val="false"/>
        <w:tabs>
          <w:tab w:val="clear" w:pos="720"/>
          <w:tab w:val="left" w:pos="900" w:leader="none"/>
          <w:tab w:val="left" w:pos="1800" w:leader="none"/>
          <w:tab w:val="left" w:pos="2880" w:leader="none"/>
          <w:tab w:val="left" w:pos="5037" w:leader="none"/>
        </w:tabs>
        <w:spacing w:lineRule="atLeast" w:line="360" w:before="0" w:after="144"/>
        <w:rPr>
          <w:color w:val="000000"/>
          <w:lang w:eastAsia="en-US"/>
        </w:rPr>
      </w:pPr>
      <w:r>
        <w:rPr>
          <w:color w:val="000000"/>
          <w:lang w:eastAsia="en-US"/>
        </w:rPr>
        <w:tab/>
        <w:t>For purposes of this Article III.10, "Contract Value" means the amount of the gas remaining to be delivered or purchased under a Transaction multiplied by the Contract Price per unit, and "Market Value" means the amount of gas remaining to be delivered or purchased under a Transaction multiplied by the Replacement Price.  The rate of interest used in calculating net present value shall be determined by the non-defaulting party in a commercially reasonable manner.  The parties agree that a Transaction under this Article III.10 shall constitute a "forward contract" within the meaning of the United States Bankruptcy Code.</w:t>
      </w:r>
    </w:p>
    <w:p>
      <w:pPr>
        <w:pStyle w:val="Normal"/>
        <w:widowControl w:val="false"/>
        <w:tabs>
          <w:tab w:val="clear" w:pos="720"/>
          <w:tab w:val="left" w:pos="900" w:leader="none"/>
          <w:tab w:val="left" w:pos="1800" w:leader="none"/>
          <w:tab w:val="left" w:pos="2880" w:leader="none"/>
          <w:tab w:val="left" w:pos="5037" w:leader="none"/>
        </w:tabs>
        <w:spacing w:lineRule="atLeast" w:line="360" w:before="0" w:after="144"/>
        <w:rPr>
          <w:color w:val="000000"/>
          <w:lang w:eastAsia="en-US"/>
        </w:rPr>
      </w:pPr>
      <w:r>
        <w:rPr>
          <w:color w:val="000000"/>
          <w:lang w:eastAsia="en-US"/>
        </w:rPr>
        <w:tab/>
        <w:t>The non-defaulting party's rights under this Article III.10 to liquidated damages accrued prior to the termination date are the sole and exclusive remedy of the non-defaulting party for early termination.  The non-defaulting party shall give notice that a liquidation pursuant to this Article III.10 has occurred to the defaulting party no later than the Business Day following such liquidation, provided that failure to give such notice shall not affect the validity or enforceability of the liquidation or give rise to any claim by the defaulting party against the non-defaulting party.</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QUANTITY</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Daily Contract Quantity for each Transaction under this Master Contract shall be set forth in the Transaction Confirmation.</w:t>
      </w:r>
    </w:p>
    <w:p>
      <w:pPr>
        <w:pStyle w:val="Outline3"/>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Each Transaction Confirmation shall specify any applicable nomination deadlines.  If the Transaction Confirmation is silent, the nomination deadline for service under the Transaction Confirmation shall be one (1) hour prior to the Receiving Pipeline’s regular nomination deadline.  Unless otherwise specified in the Transaction Confirmation, neither party shall be required to make a late or intra-day nomination.</w:t>
      </w:r>
    </w:p>
    <w:p>
      <w:pPr>
        <w:pStyle w:val="Outline5"/>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start="0" w:end="0"/>
        <w:rPr/>
      </w:pPr>
      <w:r>
        <w:rPr/>
        <w:t>3.</w:t>
        <w:tab/>
        <w:t>The parties shall not be obligated to deliver or receive quantities of gas in excess of the Nominated Daily Quantity.  However, on a reasonable efforts basis, Seller may sell and deliver and Buyer may purchase and receive such additional quantities of gas at such prices as the parties may agree upon from time to time.  Within twenty-four (24) hours of any such verbal agreement, Seller shall confirm, by facsimile, the price and quantity of any gas sold and purchased on a reasonable efforts basis pursuant to this Article IV.3.</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PRICE</w:t>
      </w:r>
    </w:p>
    <w:p>
      <w:pPr>
        <w:pStyle w:val="NumberList"/>
        <w:tabs>
          <w:tab w:val="left" w:pos="720" w:leader="none"/>
          <w:tab w:val="left" w:pos="1008" w:leader="none"/>
          <w:tab w:val="left" w:pos="141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total price for any specific Transaction shall be set forth in the Transaction Confirmation. </w:t>
      </w:r>
    </w:p>
    <w:p>
      <w:pPr>
        <w:pStyle w:val="Normal"/>
        <w:widowControl w:val="false"/>
        <w:tabs>
          <w:tab w:val="left" w:pos="720" w:leader="none"/>
          <w:tab w:val="left" w:pos="1008" w:leader="none"/>
        </w:tabs>
        <w:spacing w:lineRule="auto" w:line="360"/>
        <w:rPr/>
      </w:pPr>
      <w:r>
        <w:rPr/>
        <w:t>2.</w:t>
        <w:tab/>
        <w:t>Unless otherwise specified in the Transaction Confirmation, either party may propose, at any time, a pricing mechanism other than what is specified in the Transaction Confirmation.  Absent agreement by both parties to the alternative pricing mechanism, the pricing mechanism shall be the amount determined pursuant to the Transaction Confirmation.  Any alternative pricing mechanism that is agreed upon pursuant to this Article V.2 and the dates on which it is effective, must be confirmed in writing within one (1) Business Day by the party proposing the pricing mechanism.</w:t>
      </w:r>
    </w:p>
    <w:p>
      <w:pPr>
        <w:pStyle w:val="NumberList"/>
        <w:tabs>
          <w:tab w:val="left" w:pos="720" w:leader="none"/>
          <w:tab w:val="left" w:pos="1008" w:leader="none"/>
          <w:tab w:val="left" w:pos="2160" w:leader="none"/>
          <w:tab w:val="left" w:pos="2520"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 xml:space="preserve">The price of the gas includes all production, severance, </w:t>
      </w:r>
      <w:r>
        <w:rPr>
          <w:i/>
        </w:rPr>
        <w:t>ad valorem</w:t>
      </w:r>
      <w:r>
        <w:rPr/>
        <w:t xml:space="preserve"> or similar taxes levied on the production or transportation of the gas prior to its delivery to or for the account of Buyer and all such taxes shall be borne by Seller.  At and after its delivery to Buyer, applicable taxes shall be borne by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r>
      <w:r>
        <w:rPr>
          <w:color w:val="auto"/>
          <w:lang w:eastAsia="en-CA"/>
        </w:rPr>
        <w:t>To the extent that any of the indices necessary to determine the price of gas for any Transaction are not available at any time during the term of the applicable Transaction Confirmation, the parties agree, on notice from either party to the other party (an “Index Notice”) to negotiate promptly and in good faith a mutually satisfactory substitute index.  If the parties cannot agree on a substitute index within thirty (30) days of the date of the Index Notice, Seller and Buyer each in good faith shall prepare a list of up to five (5) substitute indices for the prices of gas sold and delivered to third parties at the Delivery Point(s), which may be comprised, without limitation, of alternative published reference postings or prices.  Each party shall sort its proposed substitute indices in that party’s priority order, with its most preferred substitute index listed first, and deliver its list to the other party within forty (40) days of the date of the Index Notice.  The first listed index appearing in Buyer’s list that also appears in Seller’s list shall become the substitute index, effective as of the date the previous index became unavailable (with retroactive adjustment of billings under this Master Contract as necessary).  If either party fails to provide a list of its proposed substitute indices within the time herein provided, such party’s preferences shall not be considered, and the first listed index appearing in the other party’s list shall become the substitute index</w:t>
      </w:r>
      <w:r>
        <w:rPr/>
        <w:t xml:space="preserve">.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QUALITY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All gas tendered by a party under this Master Contract shall conform to the quality specifications contained in the Receiving Pipeline’s Tariff.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In addition to any other remedies available to a party, if the gas offered for sale to such party shall at any time fail to meet the quality specifications set forth in the Receiving Pipeline’s Tariff, such party, or Receiving Pipeline on such party’s behalf, shall have the right to refuse to accept and pay for such gas.  No party, however, shall have any obligation to test tendered deliveries to determine whether they meet Receiving Pipeline’s quality specifications.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agrees to indemnify and hold Buyer harmless from all suits, claims, liens, damages, costs, including court costs and attorneys’ fees, losses, expenses and encumbrances of whatever nature arising from a Seller’s delivery of gas to the Receiving Pipeline’s system.  Buyer agrees to indemnify and hold Seller harmless from all suits, claims, liens, damages, costs, including court costs and attorneys’ fees, losses, expenses and encumbrances of whatever nature arising from Buyer’s receipt and control of gas at and after the Delivery Point, except for those arising from Seller’s delivery to Receiving Pipeline’s system of gas that fails to meet the quality specifications set forth in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DELIVERY CONDITIONS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delivery of gas purchased under this Master Contract shall take place upon Receiving Pipeline’s acceptance of such gas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 xml:space="preserve">Deliveries and receipts of gas shall take place at the Primary Delivery Point.  If either party desires to deliver or receive gas at Secondary Delivery Points, it shall advise the other party, confirmed in writing, of the Secondary Delivery Points it desires to tender or receive the Nominated Daily Quantity.  The party requesting use of a Secondary Delivery Point must compensate the other party for any incremental costs, including increased transportation costs, of using a Secondary Delivery Point compared to use of the Primary Delivery Point.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and Buyer agree to provide each other with a twenty-four (24) hour contact for operational communications.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The gas to be delivered under this Master Contract shall be delivered by Seller at a pressure sufficient to allow the gas to enter Receiving Pipeline’s system at the varying pressures that may exist from time to time on Receiving Pipeline’s system.</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In the event an imbalance occurs between scheduled and actual deliveries of gas, or if an imbalance occurs between actual receipts and actual deliveries of gas, each party recognizes that the other party may be subject to certain charges or penalties under Receiving Pipeline’s Tariff or Delivering Pipeline’s Tariff.  Accordingly, Seller agrees to assume all liability for such imbalances and to reimburse Buyer for any imbalance charge or penalty, including scheduling, cashout or overrun charges or penalties, incurred by Buyer as a result of Seller’s failure to deliver to Receiving Pipeline quantities of gas as scheduled by the parties pursuant to this Master Contract.  Buyer agrees to assume all liability for imbalances and to reimburse Seller for any imbalance charge or penalty, including scheduling, cashout or overrun charges or penalties, incurred by Seller as a result of Buyer’s failure to take delivery from Delivering Pipeline of quantities of gas scheduled by the parties pursuant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t xml:space="preserve">Buyer shall be responsible for making all arrangements with the Receiving Pipeline necessary for the transportation of the gas bought or sold under this Master Contract and for paying for such transportation.  Seller shall be responsible for making all arrangements with the Delivering Pipeline necessary for the transportation of the gas bought or sold under this Master Contract and for paying for such transportation.  </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MEASUREMENT OF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The quantity of gas delivered and sold under this Master Contract shall be determined by Receiving Pipeline at the Delivery Point in accordance with Receiving Pipeline’s Tariff.</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IX</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BILLING AND PAYMENT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It is understood and agreed by the parties that the gas quantities measured by the Receiving Pipeline at the Delivery Points shall determine the payment due under this Master Contract.  Seller shall tender to Buyer each month an invoice setting forth the total amount due less any credits pursuant to Article III for damages for supply failure plus any debits pursuant to Article III for damages for failure to take delivery, the total quantity of gas delivered by Seller under this Master Contract during the preceding month and, if applicable, the calculation of a price per MMBtu under the price formula stated in the Transaction Confirmation, together with any other sufficient verifiable information to justify and support such invoice.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Except when such day is not a Business Day, in which case payment shall be made on the following Business Day, the party owing money shall, as specified in Article X, wire transfer payment to the other party or make payment by Automated Clearinghouse (ACH) sixteen (16) days after the Business Day on which the owing party receives an invoice and necessary verifiable information.  Any payment shall be considered to have been made on the date such payment is wire transferred or made by ACH to the location indicated in Article X.</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Should a party fail to pay the amount due the other party when such amount is due, as provided in this Master Contract, interest thereon shall accrue at a rate equal to the lower of (i) the then-effective prime rate of interest published under “Money Rates” by The Wall Street Journal, plus one percent (1%) per annum from the date due until the date of payment, or (ii) the maximum applicable lawful interest rate.  If such failure to pay continues for thirty (30) days, the party to whom money is owed  may suspend performance under this Master Contract, but the exercise of such right shall be in addition to any and all other remedies of said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If an error is discovered in the amount billed in an invoice, such error shall be adjusted within thirty (30) days after a claim is made therefor.  No claim under this Master Contract shall be made any later than twelve (12) months after the date of the invoice claimed to be in error.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Each party shall have the right upon reasonable notice and at all reasonable times to examine the books and records of the other party to the extent necessary to verify the accuracy of any invoice, charge, or demand made under or pursuant to this Master Contract.  Provided, however, that no adjustment or correction shall be required of any error or inaccuracy occurring in any invoice, charge, or demand following twelve (12) months from the making or rendering of same.</w:t>
      </w:r>
    </w:p>
    <w:p>
      <w:pPr>
        <w:pStyle w:val="BodyText2"/>
        <w:rPr/>
      </w:pPr>
      <w:r>
        <w:rPr/>
        <w:t>6.</w:t>
        <w:tab/>
      </w:r>
      <w:r>
        <w:rPr>
          <w:sz w:val="24"/>
        </w:rPr>
        <w:t>In the event that Buyer and Seller are each required to pay an amount in the same month pursuant to this Master Contract, then such amount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rPr>
          <w:sz w:val="24"/>
        </w:rPr>
      </w:pPr>
      <w:r>
        <w:rPr>
          <w:sz w:val="24"/>
        </w:rPr>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w:t>
      </w:r>
    </w:p>
    <w:p>
      <w:pPr>
        <w:pStyle w:val="Heading"/>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NOTICES</w:t>
      </w:r>
    </w:p>
    <w:p>
      <w:pPr>
        <w:pStyle w:val="NumberList"/>
        <w:tabs>
          <w:tab w:val="left" w:pos="720" w:leader="none"/>
          <w:tab w:val="left" w:pos="1008" w:leader="none"/>
        </w:tabs>
        <w:spacing w:lineRule="auto" w:line="360" w:before="0" w:after="0"/>
        <w:ind w:hanging="0" w:end="0"/>
        <w:rPr/>
      </w:pPr>
      <w:r>
        <w:rPr/>
        <w:t>1.</w:t>
        <w:tab/>
        <w:t>Any notice, request, demand, statement, bill or payment sent pursuant to this Master Contract shall be in writing and shall be considered duly delivered when mailed or sent by facsimile to the address of the persons designated to receive notice in this Article X.</w:t>
      </w:r>
    </w:p>
    <w:p>
      <w:pPr>
        <w:pStyle w:val="NumberList"/>
        <w:tabs>
          <w:tab w:val="left" w:pos="720" w:leader="none"/>
          <w:tab w:val="left" w:pos="1008" w:leader="none"/>
        </w:tabs>
        <w:spacing w:lineRule="auto" w:line="360" w:before="0" w:after="0"/>
        <w:ind w:hanging="0" w:end="0"/>
        <w:rPr/>
      </w:pPr>
      <w:r>
        <w:rPr/>
        <w:t>2.</w:t>
        <w:tab/>
        <w:t>Notices to MEH shall be sent to:</w:t>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General Correspondence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Midwest Energy Hub, L.L.C.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bl>
    <w:p>
      <w:pPr>
        <w:pStyle w:val="BodyText"/>
        <w:rPr/>
      </w:pPr>
      <w:r>
        <w:rPr/>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Operating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Midwest Energy Hub, L.L.C.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bl>
    <w:p>
      <w:pPr>
        <w:pStyle w:val="BodyText"/>
        <w:tabs>
          <w:tab w:val="left" w:pos="720" w:leader="none"/>
          <w:tab w:val="left" w:pos="1008" w:leader="none"/>
        </w:tabs>
        <w:spacing w:lineRule="atLeast" w:line="480"/>
        <w:rPr/>
      </w:pPr>
      <w:r>
        <w:rPr/>
        <w:t>3.</w:t>
        <w:tab/>
        <w:t>Notices to Peoples Gas shall be sent to:</w:t>
      </w:r>
    </w:p>
    <w:p>
      <w:pPr>
        <w:pStyle w:val="BodyText"/>
        <w:tabs>
          <w:tab w:val="left" w:pos="720" w:leader="none"/>
          <w:tab w:val="left" w:pos="1008" w:leader="none"/>
        </w:tabs>
        <w:spacing w:lineRule="atLeast" w:line="480"/>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All Communications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The Peoples Gas Light and Coke Company</w:t>
            </w:r>
          </w:p>
          <w:p>
            <w:pPr>
              <w:pStyle w:val="BodyText"/>
              <w:rPr/>
            </w:pPr>
            <w:r>
              <w:rPr/>
              <w:t>130 East Randolph Drive</w:t>
            </w:r>
          </w:p>
          <w:p>
            <w:pPr>
              <w:pStyle w:val="BodyText"/>
              <w:rPr/>
            </w:pPr>
            <w:r>
              <w:rPr/>
              <w:t>Gas Supply Administration</w:t>
            </w:r>
          </w:p>
          <w:p>
            <w:pPr>
              <w:pStyle w:val="BodyText"/>
              <w:rPr/>
            </w:pPr>
            <w:r>
              <w:rPr/>
              <w:t>22nd Floor</w:t>
            </w:r>
          </w:p>
          <w:p>
            <w:pPr>
              <w:pStyle w:val="BodyText"/>
              <w:rPr/>
            </w:pPr>
            <w:r>
              <w:rPr/>
              <w:t>Chicago, Illinois  60601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Attn:</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Manager, Gas Supply Administration</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Telephone: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240-4554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rPr/>
            </w:pPr>
            <w:r>
              <w:rPr/>
              <w:t>Facsimile:</w:t>
            </w:r>
          </w:p>
        </w:tc>
        <w:tc>
          <w:tcPr>
            <w:tcW w:w="7398" w:type="dxa"/>
            <w:tcBorders>
              <w:top w:val="single" w:sz="4" w:space="0" w:color="000000"/>
              <w:start w:val="single" w:sz="4" w:space="0" w:color="000000"/>
              <w:bottom w:val="single" w:sz="4" w:space="0" w:color="000000"/>
              <w:end w:val="single" w:sz="4" w:space="0" w:color="000000"/>
            </w:tcBorders>
          </w:tcPr>
          <w:p>
            <w:pPr>
              <w:pStyle w:val="BodyText"/>
              <w:rPr/>
            </w:pPr>
            <w:r>
              <w:rPr/>
              <w:t>(312) 240-4211</w:t>
            </w:r>
          </w:p>
        </w:tc>
      </w:tr>
    </w:tbl>
    <w:p>
      <w:pPr>
        <w:pStyle w:val="BodyText"/>
        <w:rPr/>
      </w:pPr>
      <w:r>
        <w:rPr/>
      </w:r>
    </w:p>
    <w:tbl>
      <w:tblPr>
        <w:tblW w:w="8856" w:type="dxa"/>
        <w:jc w:val="start"/>
        <w:tblInd w:w="0" w:type="dxa"/>
        <w:tblLayout w:type="fixed"/>
        <w:tblCellMar>
          <w:top w:w="0" w:type="dxa"/>
          <w:start w:w="108" w:type="dxa"/>
          <w:bottom w:w="0" w:type="dxa"/>
          <w:end w:w="108" w:type="dxa"/>
        </w:tblCellMar>
      </w:tblPr>
      <w:tblGrid>
        <w:gridCol w:w="1458"/>
        <w:gridCol w:w="7398"/>
      </w:tblGrid>
      <w:tr>
        <w:trPr/>
        <w:tc>
          <w:tcPr>
            <w:tcW w:w="8856" w:type="dxa"/>
            <w:gridSpan w:val="2"/>
            <w:tcBorders>
              <w:top w:val="single" w:sz="4" w:space="0" w:color="000000"/>
              <w:start w:val="single" w:sz="4" w:space="0" w:color="000000"/>
              <w:bottom w:val="single" w:sz="4" w:space="0" w:color="000000"/>
              <w:end w:val="single" w:sz="4" w:space="0" w:color="000000"/>
            </w:tcBorders>
            <w:shd w:fill="F2F2F2" w:val="clear"/>
          </w:tcPr>
          <w:p>
            <w:pPr>
              <w:pStyle w:val="BodyText"/>
              <w:jc w:val="center"/>
              <w:rPr/>
            </w:pPr>
            <w:r>
              <w:rPr/>
              <w:t xml:space="preserve">Payment Information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BodyText"/>
              <w:rPr/>
            </w:pPr>
            <w:r>
              <w:rPr/>
            </w:r>
          </w:p>
        </w:tc>
        <w:tc>
          <w:tcPr>
            <w:tcW w:w="7398" w:type="dxa"/>
            <w:tcBorders>
              <w:top w:val="single" w:sz="4" w:space="0" w:color="000000"/>
              <w:start w:val="single" w:sz="4" w:space="0" w:color="000000"/>
              <w:bottom w:val="single" w:sz="4" w:space="0" w:color="000000"/>
              <w:end w:val="single" w:sz="4" w:space="0" w:color="000000"/>
            </w:tcBorders>
          </w:tcPr>
          <w:p>
            <w:pPr>
              <w:pStyle w:val="Normal"/>
              <w:jc w:val="both"/>
              <w:rPr/>
            </w:pPr>
            <w:r>
              <w:rPr/>
              <w:t>Wire Transfer to:</w:t>
            </w:r>
          </w:p>
          <w:p>
            <w:pPr>
              <w:pStyle w:val="Normal"/>
              <w:jc w:val="both"/>
              <w:rPr/>
            </w:pPr>
            <w:r>
              <w:rPr/>
              <w:t>The Peoples Gas Light and Coke Company</w:t>
            </w:r>
          </w:p>
          <w:p>
            <w:pPr>
              <w:pStyle w:val="Normal"/>
              <w:rPr/>
            </w:pPr>
            <w:r>
              <w:rPr/>
              <w:t xml:space="preserve">Harris Trust &amp; Savings Bank, </w:t>
            </w:r>
            <w:r>
              <w:rPr>
                <w:color w:val="000000"/>
              </w:rPr>
              <w:t>Chicago, Illinois</w:t>
            </w:r>
          </w:p>
          <w:p>
            <w:pPr>
              <w:pStyle w:val="Normal"/>
              <w:rPr>
                <w:color w:val="000000"/>
              </w:rPr>
            </w:pPr>
            <w:r>
              <w:rPr>
                <w:color w:val="000000"/>
              </w:rPr>
              <w:t>ABA #0710 00288</w:t>
            </w:r>
          </w:p>
          <w:p>
            <w:pPr>
              <w:pStyle w:val="BodyText"/>
              <w:rPr/>
            </w:pPr>
            <w:r>
              <w:rPr/>
              <w:t>Acct. # 375 360 5</w:t>
            </w:r>
          </w:p>
        </w:tc>
      </w:tr>
    </w:tbl>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FORCE MAJEURE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In the event that either party is rendered unable, by reason of an event of </w:t>
      </w:r>
      <w:r>
        <w:rPr>
          <w:i/>
        </w:rPr>
        <w:t>force majeure</w:t>
      </w:r>
      <w:r>
        <w:rPr/>
        <w:t xml:space="preserve">, to perform, in whole or in part, any obligation or commitment set forth in this Master Contract, then upon such party giving notice and full particulars of such event as soon as practicable, but in no event more than two (2) Business Days, after the occurrence thereof, the obligations of both parties, except for unpaid financial obligations arising prior to such event of </w:t>
      </w:r>
      <w:r>
        <w:rPr>
          <w:i/>
        </w:rPr>
        <w:t>force majeure</w:t>
      </w:r>
      <w:r>
        <w:rPr/>
        <w:t xml:space="preserve">, shall be suspended to the extent and for the period of such </w:t>
      </w:r>
      <w:r>
        <w:rPr>
          <w:i/>
        </w:rPr>
        <w:t>force majeure</w:t>
      </w:r>
      <w:r>
        <w:rPr/>
        <w:t xml:space="preserve"> condition.</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as used in this Master Contract shall mean an event not anticipated as of the commencement of the term of the applicable Transaction Confirmation,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The term “</w:t>
      </w:r>
      <w:r>
        <w:rPr>
          <w:i/>
        </w:rPr>
        <w:t>force majeure</w:t>
      </w:r>
      <w:r>
        <w:rPr/>
        <w:t>” shall include an event of “</w:t>
      </w:r>
      <w:r>
        <w:rPr>
          <w:i/>
        </w:rPr>
        <w:t xml:space="preserve">force majeure” </w:t>
      </w:r>
      <w:r>
        <w:rPr/>
        <w:t>occurring with respect to the facilities or services of the Receiving Pipeline or the Delivering Pipeline.</w:t>
      </w:r>
    </w:p>
    <w:p>
      <w:pPr>
        <w:pStyle w:val="NumberList"/>
        <w:numPr>
          <w:ilvl w:val="0"/>
          <w:numId w:val="2"/>
        </w:numPr>
        <w:tabs>
          <w:tab w:val="clear" w:pos="720"/>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start="0" w:end="0"/>
        <w:rPr/>
      </w:pPr>
      <w:r>
        <w:rPr/>
        <w:t>The term “</w:t>
      </w:r>
      <w:r>
        <w:rPr>
          <w:i/>
        </w:rPr>
        <w:t>force majeure</w:t>
      </w:r>
      <w:r>
        <w:rPr/>
        <w:t xml:space="preserve">” as used in this Master Contract shall not include (a) for any Transaction, the failure or inability to obtain gas, unless failure or inability is caused by an event of </w:t>
      </w:r>
      <w:r>
        <w:rPr>
          <w:i/>
        </w:rPr>
        <w:t>force majeure</w:t>
      </w:r>
      <w:r>
        <w:rPr/>
        <w:t>; (b) for any Transaction involving a Firm Performance Obligation, the curtailment or interruption of interruptible transportation by the Receiving Pipelines or the Delivering Pipeline; (c) the loss of Buyer's markets nor Buyer's inability economically to use or resell Gas purchased hereunder; or (d) the loss or failure of Seller's gas supply, including, without limitation, depletion of reserves or other failure of production, nor Seller's ability to sell gas to a market at a more advantageous price.</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Neither party shall be entitled to the benefit of the provisions of this Article XI to the extent that the failure to perform was caused by the party claiming suspension having failed to remedy the condition by taking all reasonable acts, short of litigation, if such remedy requires litigation, or having failed to resume performance of such commitments or obligations with all reasonable dispatch.</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 xml:space="preserve">Settlement of strikes and lockouts shall be entirely within the discretion of the party affected, and the requirement that any event of </w:t>
      </w:r>
      <w:r>
        <w:rPr>
          <w:i/>
        </w:rPr>
        <w:t>force majeure</w:t>
      </w:r>
      <w:r>
        <w:rPr/>
        <w:t xml:space="preserve"> be remedied with all reasonable dispatch shall not require the settlement of strikes and lockouts by acceding to the demands of those directly or indirectly involved in such strikes or lockouts.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TITLE TO GAS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Seller hereby warrants title to all gas delivered to Buyer under this Master Contract and that Seller has the right to sell such gas.  Further, Seller warrants that all such gas is owned by it free and clear from all liens, encumbrances and adverse claims, including liens to secure payment of production, severance, </w:t>
      </w:r>
      <w:r>
        <w:rPr>
          <w:i/>
        </w:rPr>
        <w:t>ad valorem</w:t>
      </w:r>
      <w:r>
        <w:rPr/>
        <w:t xml:space="preserve"> and other taxes.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Title to gas covered under this Master Contract shall pass to Buyer at the Delivery Point.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Seller shall indemnify and hold Buyer harmless from all suits, claims, liens, damages, costs, including court costs and attorneys’ fees, losses, expenses and encumbrances of whatever nature arising from and out of claims of any or all persons to said gas or title thereto, or to royalties, taxes, license fees, payments or other charges thereon for which Seller is responsible.  Buyer shall indemnify and hold Seller harmless from all claims arising from or out of claims regarding payment, personal injury or property damage from said gas or other charges thereon that attach after title passes to Buyer.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In case of any adverse claim to Seller’s title to gas delivered under this Master Contract, Buyer may, without otherwise affecting this Master Contract, withhold that portion of the proceeds due under this Master Contract reasonably related to such claim, without interest, until such claim is finally determined; provided, that if Seller provides a bond or other reasonable surety to cover the amount in dispute that is being withheld, Buyer shall immediately pay Seller such withheld amount.</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GOVERNMENT REGULATION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Notwithstanding any other provision in this Master Contract, if any regulatory body, governmental entity or agency having jurisdiction prohibits any Transaction entered into pursuant to this Master Contract or otherwise conditions such Transaction in a form that is unacceptable in the sole judgment of the party affected thereby, then the party so affected may terminate this Master Contract by prior written notice stating the date of such termination.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This Master Contract and all provisions in this Master Contract shall be subject to all applicable and valid statutes, rules, orders and regulations of any regulatory body, governmental entity or agency having jurisdiction.  Neither party shall be held in default for failure to perform under this Master Contract if such failure is due to compliance with such statutes, rules, orders and regulations of any regulatory body, governmental entity or agency having jurisdiction.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Subject to Article XIII.1, should either party by statute, rule, order or regulation be ordered or required to do any act inconsistent with the provisions of this Master Contract, this Master Contract shall be deemed modified to conform with such statute, rule, order or regulation.  Nothing in this Master Contract shall prevent either party from contesting the validity of any such statute, rule, order or regulation, nor shall anything in this Master Contract be construed to require either party to waive its right to assert the lack of jurisdiction of any regulatory body, governmental entity, or agency over this Master Contract or any party to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Each party understands that should any regulatory body, governmental entity or agency having jurisdiction require its approval for any Transaction under this Master Contract, then each party shall make any necessary applications or filings and shall submit any records or data to the regulatory body, governmental entity or agency so that requisite regulatory authorization may be granted.  Neither party shall be responsible for any filing fees or costs incurred by the other, its agent or any third party respecting a Transaction under this Master Contract.  In the event that such authority is not granted, then the parties understand that their obligations under this Master Contract shall have no force or effect as to the Transaction and there will be no liability on the part of either party.</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CONFIDENTIALITY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 Seller and Buyer agree that the terms and conditions of this Master Contract, including any Transaction Confirmation, shall remain confidential, except for any required disclosure to a regulatory body, governmental entity or agency having jurisdiction.  In case of such disclosure, the disclosing party shall attempt to obtain an appropriate protective order or enter into an appropriate protective agreement.  Notwithstanding the foregoing, either party may disclose relevant details of this Master Contract to its duly authorized agent, provided such disclosure is necessary to perform its obligations under this Master Contract.  In such event, the disclosing party will require appropriate non-disclosure commitments from the parties receiving confidential information.</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GOVERNING LAW</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This Master Contract shall be construed and enforced in accordance with the laws of the State of Illinois without regard to principles of conflicts of law.  The parties agree that the forum of any litigation shall be in a state or federal court located within the State of Illinois.</w:t>
      </w:r>
    </w:p>
    <w:p>
      <w:pPr>
        <w:pStyle w:val="BodyText"/>
        <w:spacing w:lineRule="auto" w:line="360"/>
        <w:jc w:val="center"/>
        <w:rPr>
          <w:b/>
        </w:rPr>
      </w:pPr>
      <w:r>
        <w:rPr>
          <w:b/>
        </w:rPr>
        <w:t>ARTICLE XVI</w:t>
      </w:r>
    </w:p>
    <w:p>
      <w:pPr>
        <w:pStyle w:val="BodyText"/>
        <w:spacing w:lineRule="auto" w:line="360"/>
        <w:jc w:val="center"/>
        <w:rPr>
          <w:b/>
        </w:rPr>
      </w:pPr>
      <w:r>
        <w:rPr>
          <w:b/>
        </w:rPr>
        <w:t>FINANCIAL RESPONSIBILITY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Each party (“Providing Party”) shall on written request promptly furnish the other party (“Receiving Party”) reasonable assurance of the Providing Party’s financial capability to meet its obligations under this Master Contract if the Receiving Party, in good faith, believes that the Providing Party lacks the financial capability to meet such obligations.  If (a) the Providing Party fails to provide such reasonable assurance, or (b) on the basis of information provided by the Providing Party or other information available to the Receiving Party, and using generally accepted financial evaluation standards applied on a non-discriminatory basis, the Receiving Party concludes that the Providing Party does not currently meet the Receiving Party’s reasonable requirements for extension of unsecured credit, the Receiving Party shall have the right to immediately suspend performance hereunder, until the Providing Party furnishes an irrevocable letter of credit, guaranty, or other good and sufficient security of a continuing nature, satisfactory in form, issuer and amount to the Receiving Party, as determined by the Receiving Party in its reasonable discretion.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CONDITION PRECEDENT</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b w:val="false"/>
        </w:rPr>
      </w:pPr>
      <w:r>
        <w:rPr>
          <w:b w:val="false"/>
        </w:rPr>
        <w:t>1.</w:t>
        <w:tab/>
        <w:t>The initial and continued effectiveness of this Master Contract is specifically made contingent upon the Illinois Commerce Commission's approval of this Master Contract in substantially the same form submitted by Peoples Gas without imposing terms or conditions with respect to such approval that are unacceptable either to Peoples Gas or MEH, in their respective sole discretion.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XVIII</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DISPUTE RESOLUTION</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jc w:val="start"/>
        <w:rPr>
          <w:b w:val="false"/>
        </w:rPr>
      </w:pPr>
      <w:r>
        <w:rPr>
          <w:b w:val="false"/>
        </w:rPr>
        <w:t>1.</w:t>
        <w:tab/>
        <w:t>In the event a dispute arises between Buyer and Seller, or the successors or assigns of either of them, regarding the application or interpretation of any provision of this Master Contract or a Transaction Confirmation, the aggrieved party shall promptly notify the other party of its intent to invoke this dispute resolution procedure after such dispute arises.  If the parties shall have failed to resolve the dispute within ten (10) Business Days after delivery of such notice, each party shall, within five (5) Business Days thereafter nominate a senior officer of its management to meet at a mutually agreed location to resolve the dispute.  If the dispute is not resolved within ten (10) Business Days of the nomination of such senior officers, then the parties may pursue any and all available remedies.</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ARTICLE XIX</w:t>
      </w:r>
    </w:p>
    <w:p>
      <w:pPr>
        <w:pStyle w:val="Heading"/>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rPr/>
      </w:pPr>
      <w:r>
        <w:rPr/>
        <w:t>MISCELLANEOUS</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1.</w:t>
        <w:tab/>
        <w:t xml:space="preserve">The provisions of this Master Contract shall extend to the parties to this Contract and to their successors and assigns, but neither party shall assign any of its rights or obligations under this Master Contract without the written consent of the other party except to an affiliate with the financial and operational capability to perform its obligations under this Master Contract or to a trustee or trustees, individual or corporate, as security for bonds, security, or other obligations.  </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2.</w:t>
        <w:tab/>
        <w:t>A waiver by either party of any one or more defaults by the other in the performance of any provisions of this Master Contract shall not operate as a waiver of any future default or defaults, whether of a like or different character.</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3.</w:t>
        <w:tab/>
        <w:t>This Master Contract contains the entire agreement between the parties, and except as stated in this Master Contract, there are no promises, agreements, warranties, obligations, assurances, or conditions precedent or otherwise affecting it.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4.</w:t>
        <w:tab/>
        <w:t>Any change, modification, or alteration of this Master Contract shall be in writing, signed by the parties to this Master Contract, and no course of dealing between the parties shall be construed to alter the terms hereof, except as stated in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5.</w:t>
        <w:tab/>
        <w:t>The captions in this Master Contract are inserted for convenience of reference only and shall not affect the construction or interpretation of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6.</w:t>
        <w:tab/>
        <w:t>MEH and Peoples Gas agree that there is no third party beneficiary of this Master Contract and that the provisions of this Master Contract do not impart enforceable rights to anyone who is not a party.</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7.</w:t>
        <w:tab/>
      </w:r>
      <w:r>
        <w:rPr>
          <w:b/>
          <w:sz w:val="22"/>
        </w:rPr>
        <w:t>MEH AND PEOPLES GAS AGREE THAT NEITHER PARTY SHALL BE LIABLE TO THE OTHER FOR PUNITIVE, CONSEQUENTIAL, EXEMPLARY OR INCIDENTAL DAMAGES UNDER THIS MASTER CONTRACT.</w:t>
      </w:r>
    </w:p>
    <w:p>
      <w:pPr>
        <w:pStyle w:val="NumberList"/>
        <w:tabs>
          <w:tab w:val="left" w:pos="720" w:leader="none"/>
          <w:tab w:val="left" w:pos="1008"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before="0" w:after="0"/>
        <w:ind w:hanging="0" w:end="0"/>
        <w:rPr/>
      </w:pPr>
      <w:r>
        <w:rPr/>
        <w:t>8.</w:t>
        <w:tab/>
        <w:t>This Master Contract was prepared by all parties to this Master Contract and not by any party to the exclusion of any other.</w:t>
      </w:r>
    </w:p>
    <w:p>
      <w:pPr>
        <w:pStyle w:val="BodyText"/>
        <w:rPr/>
      </w:pPr>
      <w:r>
        <w:rPr/>
      </w:r>
    </w:p>
    <w:p>
      <w:pPr>
        <w:pStyle w:val="BodyText"/>
        <w:jc w:val="center"/>
        <w:rPr/>
      </w:pPr>
      <w:r>
        <w:rPr/>
        <w:t>[signature page follows]</w:t>
      </w:r>
      <w:r>
        <w:br w:type="page"/>
      </w:r>
    </w:p>
    <w:p>
      <w:pPr>
        <w:pStyle w:val="BodyText"/>
        <w:jc w:val="center"/>
        <w:rPr/>
      </w:pPr>
      <w:r>
        <w:rPr/>
      </w:r>
    </w:p>
    <w:p>
      <w:pPr>
        <w:pStyle w:val="BodyText"/>
        <w:rPr/>
      </w:pPr>
      <w:r>
        <w:rPr/>
      </w:r>
    </w:p>
    <w:p>
      <w:pPr>
        <w:pStyle w:val="BodyText"/>
        <w:tabs>
          <w:tab w:val="left" w:pos="720" w:leader="none"/>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uto" w:line="360"/>
        <w:rPr/>
      </w:pPr>
      <w:r>
        <w:rPr/>
        <w:tab/>
        <w:t>IN WITNESS WHEREOF, the parties have caused this Master Contract to be executed in duplicate as of the date first written above.</w:t>
      </w:r>
    </w:p>
    <w:p>
      <w:pPr>
        <w:pStyle w:val="BodyText"/>
        <w:rPr/>
      </w:pPr>
      <w:r>
        <w:rPr/>
      </w:r>
    </w:p>
    <w:tbl>
      <w:tblPr>
        <w:tblW w:w="9990" w:type="dxa"/>
        <w:jc w:val="start"/>
        <w:tblInd w:w="-227" w:type="dxa"/>
        <w:tblLayout w:type="fixed"/>
        <w:tblCellMar>
          <w:top w:w="0" w:type="dxa"/>
          <w:start w:w="43" w:type="dxa"/>
          <w:bottom w:w="0" w:type="dxa"/>
          <w:end w:w="43" w:type="dxa"/>
        </w:tblCellMar>
      </w:tblPr>
      <w:tblGrid>
        <w:gridCol w:w="4843"/>
        <w:gridCol w:w="5147"/>
      </w:tblGrid>
      <w:tr>
        <w:trPr/>
        <w:tc>
          <w:tcPr>
            <w:tcW w:w="4843" w:type="dxa"/>
            <w:tcBorders/>
          </w:tcPr>
          <w:p>
            <w:pPr>
              <w:pStyle w:val="BodyText"/>
              <w:jc w:val="center"/>
              <w:rPr/>
            </w:pPr>
            <w:r>
              <w:rPr/>
              <w:t xml:space="preserve">THE PEOPLES GAS LIGHT </w:t>
            </w:r>
          </w:p>
          <w:p>
            <w:pPr>
              <w:pStyle w:val="BodyText"/>
              <w:jc w:val="center"/>
              <w:rPr/>
            </w:pPr>
            <w:r>
              <w:rPr/>
              <w:t>AND COKE COMPANY</w:t>
            </w:r>
          </w:p>
          <w:p>
            <w:pPr>
              <w:pStyle w:val="BodyText"/>
              <w:rPr/>
            </w:pPr>
            <w:r>
              <w:rPr/>
            </w:r>
          </w:p>
        </w:tc>
        <w:tc>
          <w:tcPr>
            <w:tcW w:w="5147" w:type="dxa"/>
            <w:tcBorders/>
          </w:tcPr>
          <w:p>
            <w:pPr>
              <w:pStyle w:val="TableText"/>
              <w:jc w:val="center"/>
              <w:rPr/>
            </w:pPr>
            <w:r>
              <w:rPr/>
              <w:t>MIDWEST ENERGY HUB, L.L.C.</w:t>
            </w:r>
          </w:p>
        </w:tc>
      </w:tr>
      <w:tr>
        <w:trPr/>
        <w:tc>
          <w:tcPr>
            <w:tcW w:w="4843" w:type="dxa"/>
            <w:tcBorders/>
          </w:tcPr>
          <w:p>
            <w:pPr>
              <w:pStyle w:val="TableText"/>
              <w:rPr/>
            </w:pPr>
            <w:r>
              <w:rPr/>
              <w:t>By:  __________________________</w:t>
            </w:r>
          </w:p>
        </w:tc>
        <w:tc>
          <w:tcPr>
            <w:tcW w:w="5147" w:type="dxa"/>
            <w:tcBorders/>
          </w:tcPr>
          <w:p>
            <w:pPr>
              <w:pStyle w:val="TableText"/>
              <w:rPr/>
            </w:pPr>
            <w:r>
              <w:rPr/>
              <w:t>By:       _________________________</w:t>
            </w:r>
          </w:p>
        </w:tc>
      </w:tr>
      <w:tr>
        <w:trPr/>
        <w:tc>
          <w:tcPr>
            <w:tcW w:w="4843" w:type="dxa"/>
            <w:tcBorders/>
          </w:tcPr>
          <w:p>
            <w:pPr>
              <w:pStyle w:val="TableText"/>
              <w:jc w:val="center"/>
              <w:rPr/>
            </w:pPr>
            <w:r>
              <w:rPr/>
              <w:t>William E. Morrow</w:t>
            </w:r>
          </w:p>
          <w:p>
            <w:pPr>
              <w:pStyle w:val="TableText"/>
              <w:jc w:val="center"/>
              <w:rPr/>
            </w:pPr>
            <w:r>
              <w:rPr/>
              <w:t>Vice President</w:t>
            </w:r>
          </w:p>
        </w:tc>
        <w:tc>
          <w:tcPr>
            <w:tcW w:w="5147" w:type="dxa"/>
            <w:tcBorders/>
          </w:tcPr>
          <w:p>
            <w:pPr>
              <w:pStyle w:val="TableText"/>
              <w:snapToGrid w:val="false"/>
              <w:rPr/>
            </w:pPr>
            <w:r>
              <w:rPr/>
            </w:r>
          </w:p>
          <w:p>
            <w:pPr>
              <w:pStyle w:val="TableText"/>
              <w:rPr/>
            </w:pPr>
            <w:r>
              <w:rPr/>
              <w:t>Name:  ________________________</w:t>
            </w:r>
          </w:p>
        </w:tc>
      </w:tr>
      <w:tr>
        <w:trPr/>
        <w:tc>
          <w:tcPr>
            <w:tcW w:w="4843" w:type="dxa"/>
            <w:tcBorders/>
          </w:tcPr>
          <w:p>
            <w:pPr>
              <w:pStyle w:val="TableText"/>
              <w:snapToGrid w:val="false"/>
              <w:rPr/>
            </w:pPr>
            <w:r>
              <w:rPr/>
            </w:r>
          </w:p>
        </w:tc>
        <w:tc>
          <w:tcPr>
            <w:tcW w:w="5147" w:type="dxa"/>
            <w:tcBorders/>
          </w:tcPr>
          <w:p>
            <w:pPr>
              <w:pStyle w:val="TableText"/>
              <w:rPr/>
            </w:pPr>
            <w:r>
              <w:rPr/>
              <w:t>Title:  _________________________</w:t>
            </w:r>
          </w:p>
        </w:tc>
      </w:tr>
    </w:tbl>
    <w:p>
      <w:pPr>
        <w:pStyle w:val="Normal"/>
        <w:rPr>
          <w:lang w:eastAsia="en-US"/>
        </w:rPr>
      </w:pPr>
      <w:r>
        <w:rPr>
          <w:lang w:eastAsia="en-US"/>
        </w:rPr>
      </w:r>
      <w:r>
        <w:br w:type="page"/>
      </w:r>
    </w:p>
    <w:p>
      <w:pPr>
        <w:pStyle w:val="Normal"/>
        <w:rPr>
          <w:lang w:eastAsia="en-US"/>
        </w:rPr>
      </w:pPr>
      <w:r>
        <w:rPr>
          <w:lang w:eastAsia="en-US"/>
        </w:rPr>
      </w:r>
    </w:p>
    <w:p>
      <w:pPr>
        <w:pStyle w:val="BodyText"/>
        <w:tabs>
          <w:tab w:val="clear" w:pos="720"/>
          <w:tab w:val="left" w:pos="1413" w:leader="none"/>
          <w:tab w:val="left" w:pos="2183" w:leader="none"/>
          <w:tab w:val="left" w:pos="2878" w:leader="none"/>
          <w:tab w:val="left" w:pos="3591" w:leader="none"/>
          <w:tab w:val="left" w:pos="4320" w:leader="none"/>
          <w:tab w:val="left" w:pos="5037" w:leader="none"/>
          <w:tab w:val="left" w:pos="5750" w:leader="none"/>
          <w:tab w:val="left" w:pos="6501" w:leader="none"/>
          <w:tab w:val="left" w:pos="7177" w:leader="none"/>
          <w:tab w:val="left" w:pos="7965" w:leader="none"/>
          <w:tab w:val="left" w:pos="8640" w:leader="none"/>
        </w:tabs>
        <w:ind w:hanging="4320" w:start="4320" w:end="0"/>
        <w:rPr/>
      </w:pPr>
      <w:r>
        <w:rPr/>
        <w:tab/>
        <w:tab/>
        <w:tab/>
        <w:tab/>
        <w:tab/>
        <w:t>Exhibit A to Master Natural Gas Contract By and Between Midwest Energy Hub, L.L.C. and The Peoples Gas Light and Coke Company, dated _______ , 2000.</w:t>
      </w:r>
    </w:p>
    <w:p>
      <w:pPr>
        <w:pStyle w:val="BodyText"/>
        <w:tabs>
          <w:tab w:val="left" w:pos="720" w:leader="none"/>
          <w:tab w:val="left" w:pos="1008" w:leader="none"/>
        </w:tabs>
        <w:spacing w:lineRule="auto" w:line="360"/>
        <w:rPr/>
      </w:pPr>
      <w:r>
        <w:rPr/>
      </w:r>
    </w:p>
    <w:p>
      <w:pPr>
        <w:pStyle w:val="BodyText"/>
        <w:tabs>
          <w:tab w:val="left" w:pos="720" w:leader="none"/>
          <w:tab w:val="left" w:pos="1008" w:leader="none"/>
        </w:tabs>
        <w:spacing w:lineRule="auto" w:line="360"/>
        <w:jc w:val="center"/>
        <w:rPr/>
      </w:pPr>
      <w:r>
        <w:rPr/>
        <w:t>FORM OF TRANSACTION CONFIRMATION</w:t>
      </w:r>
    </w:p>
    <w:p>
      <w:pPr>
        <w:pStyle w:val="BodyText"/>
        <w:tabs>
          <w:tab w:val="left" w:pos="720" w:leader="none"/>
          <w:tab w:val="left" w:pos="1008" w:leader="none"/>
        </w:tabs>
        <w:spacing w:lineRule="auto" w:line="360"/>
        <w:rPr/>
      </w:pPr>
      <w:r>
        <w:rPr/>
        <w:t xml:space="preserve">1.  The Seller shall be ___________.  </w:t>
      </w:r>
    </w:p>
    <w:p>
      <w:pPr>
        <w:pStyle w:val="BodyText"/>
        <w:tabs>
          <w:tab w:val="left" w:pos="720" w:leader="none"/>
          <w:tab w:val="left" w:pos="1008" w:leader="none"/>
        </w:tabs>
        <w:spacing w:lineRule="auto" w:line="360"/>
        <w:rPr/>
      </w:pPr>
      <w:r>
        <w:rPr/>
        <w:t>2.  The Buyer shall be ___________.</w:t>
      </w:r>
    </w:p>
    <w:p>
      <w:pPr>
        <w:pStyle w:val="BodyText"/>
        <w:tabs>
          <w:tab w:val="left" w:pos="720" w:leader="none"/>
          <w:tab w:val="left" w:pos="1008" w:leader="none"/>
        </w:tabs>
        <w:spacing w:lineRule="auto" w:line="360"/>
        <w:rPr/>
      </w:pPr>
      <w:r>
        <w:rPr/>
        <w:t xml:space="preserve">3.  The Daily Contract Quantity (DCQ) shall be _____________ MMBtu/d.  </w:t>
      </w:r>
    </w:p>
    <w:p>
      <w:pPr>
        <w:pStyle w:val="BodyText"/>
        <w:tabs>
          <w:tab w:val="left" w:pos="720" w:leader="none"/>
          <w:tab w:val="left" w:pos="1008" w:leader="none"/>
        </w:tabs>
        <w:spacing w:lineRule="auto" w:line="360"/>
        <w:rPr/>
      </w:pPr>
      <w:r>
        <w:rPr/>
        <w:t>The DCQ shall be plus associated fuel (check one):  ____ Yes; ___ No.</w:t>
      </w:r>
    </w:p>
    <w:p>
      <w:pPr>
        <w:pStyle w:val="BodyText"/>
        <w:tabs>
          <w:tab w:val="left" w:pos="720" w:leader="none"/>
          <w:tab w:val="left" w:pos="1008" w:leader="none"/>
        </w:tabs>
        <w:spacing w:lineRule="auto" w:line="360"/>
        <w:rPr/>
      </w:pPr>
      <w:r>
        <w:rPr/>
        <w:t>4.  The Transaction shall be a [Firm or Interruptible] Performance Obligation.</w:t>
      </w:r>
    </w:p>
    <w:p>
      <w:pPr>
        <w:pStyle w:val="BodyText"/>
        <w:tabs>
          <w:tab w:val="left" w:pos="720" w:leader="none"/>
          <w:tab w:val="left" w:pos="1008" w:leader="none"/>
        </w:tabs>
        <w:spacing w:lineRule="auto" w:line="360"/>
        <w:rPr/>
      </w:pPr>
      <w:r>
        <w:rPr/>
        <w:t>5.  The Transaction shall begin ____________ and end _________________ , inclusive of the commencement and ending dates.</w:t>
      </w:r>
    </w:p>
    <w:p>
      <w:pPr>
        <w:pStyle w:val="BodyText"/>
        <w:tabs>
          <w:tab w:val="left" w:pos="720" w:leader="none"/>
          <w:tab w:val="left" w:pos="1008" w:leader="none"/>
        </w:tabs>
        <w:spacing w:lineRule="auto" w:line="360"/>
        <w:rPr/>
      </w:pPr>
      <w:r>
        <w:rPr/>
        <w:t>6.  The Primary Delivery Point shall be:  ___________________________ .</w:t>
      </w:r>
    </w:p>
    <w:p>
      <w:pPr>
        <w:pStyle w:val="BodyText"/>
        <w:tabs>
          <w:tab w:val="left" w:pos="720" w:leader="none"/>
          <w:tab w:val="left" w:pos="1008" w:leader="none"/>
        </w:tabs>
        <w:spacing w:lineRule="auto" w:line="360"/>
        <w:rPr/>
      </w:pPr>
      <w:r>
        <w:rPr/>
        <w:t>7.  Price:</w:t>
      </w:r>
    </w:p>
    <w:p>
      <w:pPr>
        <w:pStyle w:val="BodyText"/>
        <w:tabs>
          <w:tab w:val="left" w:pos="720" w:leader="none"/>
          <w:tab w:val="left" w:pos="1008" w:leader="none"/>
        </w:tabs>
        <w:spacing w:lineRule="auto" w:line="360"/>
        <w:rPr/>
      </w:pPr>
      <w:r>
        <w:rPr/>
        <w:tab/>
        <w:t>The reservation charge shall be ____ x (DCQ) x (number of days in the month)</w:t>
      </w:r>
    </w:p>
    <w:p>
      <w:pPr>
        <w:pStyle w:val="BodyText"/>
        <w:tabs>
          <w:tab w:val="left" w:pos="720" w:leader="none"/>
          <w:tab w:val="left" w:pos="1008" w:leader="none"/>
        </w:tabs>
        <w:spacing w:lineRule="auto" w:line="360"/>
        <w:rPr/>
      </w:pPr>
      <w:r>
        <w:rPr/>
        <w:tab/>
        <w:t>The commodity charge per MMBtu shall be:</w:t>
      </w:r>
    </w:p>
    <w:p>
      <w:pPr>
        <w:pStyle w:val="BodyText"/>
        <w:tabs>
          <w:tab w:val="left" w:pos="720" w:leader="none"/>
          <w:tab w:val="left" w:pos="1008" w:leader="none"/>
        </w:tabs>
        <w:spacing w:lineRule="auto" w:line="360"/>
        <w:rPr/>
      </w:pPr>
      <w:r>
        <w:rPr/>
        <w:tab/>
        <w:t>Other consideration shall be:</w:t>
      </w:r>
    </w:p>
    <w:p>
      <w:pPr>
        <w:pStyle w:val="BodyText"/>
        <w:tabs>
          <w:tab w:val="left" w:pos="720" w:leader="none"/>
          <w:tab w:val="left" w:pos="1008" w:leader="none"/>
        </w:tabs>
        <w:spacing w:lineRule="auto" w:line="360"/>
        <w:rPr/>
      </w:pPr>
      <w:r>
        <w:rPr/>
        <w:t xml:space="preserve">8.  Receiving Pipeline shall be: </w:t>
      </w:r>
    </w:p>
    <w:p>
      <w:pPr>
        <w:pStyle w:val="BodyText"/>
        <w:tabs>
          <w:tab w:val="left" w:pos="720" w:leader="none"/>
          <w:tab w:val="left" w:pos="1008" w:leader="none"/>
        </w:tabs>
        <w:spacing w:lineRule="auto" w:line="360"/>
        <w:rPr/>
      </w:pPr>
      <w:r>
        <w:rPr/>
        <w:t>9.  Delivering Pipeline shall be</w:t>
      </w:r>
    </w:p>
    <w:p>
      <w:pPr>
        <w:pStyle w:val="BodyText"/>
        <w:tabs>
          <w:tab w:val="left" w:pos="720" w:leader="none"/>
          <w:tab w:val="left" w:pos="1008" w:leader="none"/>
        </w:tabs>
        <w:spacing w:lineRule="auto" w:line="360"/>
        <w:rPr/>
      </w:pPr>
      <w:r>
        <w:rPr/>
        <w:t>10.  Liquidated damages:</w:t>
      </w:r>
    </w:p>
    <w:p>
      <w:pPr>
        <w:pStyle w:val="BodyText"/>
        <w:tabs>
          <w:tab w:val="left" w:pos="720" w:leader="none"/>
          <w:tab w:val="left" w:pos="1008" w:leader="none"/>
        </w:tabs>
        <w:spacing w:lineRule="auto" w:line="360"/>
        <w:rPr/>
      </w:pPr>
      <w:r>
        <w:rPr/>
        <w:t>11.  Other terms and conditions:</w:t>
      </w:r>
    </w:p>
    <w:p>
      <w:pPr>
        <w:pStyle w:val="BodyText"/>
        <w:tabs>
          <w:tab w:val="left" w:pos="720" w:leader="none"/>
          <w:tab w:val="left" w:pos="1008" w:leader="none"/>
        </w:tabs>
        <w:spacing w:lineRule="auto" w:line="360"/>
        <w:rPr/>
      </w:pPr>
      <w:r>
        <w:rPr/>
      </w:r>
    </w:p>
    <w:tbl>
      <w:tblPr>
        <w:tblW w:w="9416" w:type="dxa"/>
        <w:jc w:val="start"/>
        <w:tblInd w:w="-227" w:type="dxa"/>
        <w:tblLayout w:type="fixed"/>
        <w:tblCellMar>
          <w:top w:w="0" w:type="dxa"/>
          <w:start w:w="43" w:type="dxa"/>
          <w:bottom w:w="0" w:type="dxa"/>
          <w:end w:w="43" w:type="dxa"/>
        </w:tblCellMar>
      </w:tblPr>
      <w:tblGrid>
        <w:gridCol w:w="4843"/>
        <w:gridCol w:w="4573"/>
      </w:tblGrid>
      <w:tr>
        <w:trPr/>
        <w:tc>
          <w:tcPr>
            <w:tcW w:w="4843" w:type="dxa"/>
            <w:tcBorders/>
          </w:tcPr>
          <w:p>
            <w:pPr>
              <w:pStyle w:val="TableText"/>
              <w:jc w:val="center"/>
              <w:rPr/>
            </w:pPr>
            <w:r>
              <w:rPr/>
              <w:t xml:space="preserve">THE PEOPLES GAS LIGHT </w:t>
            </w:r>
          </w:p>
          <w:p>
            <w:pPr>
              <w:pStyle w:val="TableText"/>
              <w:jc w:val="center"/>
              <w:rPr/>
            </w:pPr>
            <w:r>
              <w:rPr/>
              <w:t>AND COKE COMPANY</w:t>
            </w:r>
          </w:p>
          <w:p>
            <w:pPr>
              <w:pStyle w:val="BodyText"/>
              <w:rPr/>
            </w:pPr>
            <w:r>
              <w:rPr/>
            </w:r>
          </w:p>
          <w:p>
            <w:pPr>
              <w:pStyle w:val="BodyText"/>
              <w:rPr/>
            </w:pPr>
            <w:r>
              <w:rPr/>
            </w:r>
          </w:p>
        </w:tc>
        <w:tc>
          <w:tcPr>
            <w:tcW w:w="4573" w:type="dxa"/>
            <w:tcBorders/>
          </w:tcPr>
          <w:p>
            <w:pPr>
              <w:pStyle w:val="TableText"/>
              <w:jc w:val="center"/>
              <w:rPr/>
            </w:pPr>
            <w:r>
              <w:rPr/>
              <w:t>MIDWEST ENERGY HUB, L.L.C.</w:t>
            </w:r>
          </w:p>
        </w:tc>
      </w:tr>
      <w:tr>
        <w:trPr/>
        <w:tc>
          <w:tcPr>
            <w:tcW w:w="4843" w:type="dxa"/>
            <w:tcBorders/>
          </w:tcPr>
          <w:p>
            <w:pPr>
              <w:pStyle w:val="TableText"/>
              <w:rPr/>
            </w:pPr>
            <w:r>
              <w:rPr/>
              <w:t>By:  __________________________</w:t>
            </w:r>
          </w:p>
        </w:tc>
        <w:tc>
          <w:tcPr>
            <w:tcW w:w="4573" w:type="dxa"/>
            <w:tcBorders/>
          </w:tcPr>
          <w:p>
            <w:pPr>
              <w:pStyle w:val="TableText"/>
              <w:rPr/>
            </w:pPr>
            <w:r>
              <w:rPr/>
              <w:t>By:       _________________________</w:t>
            </w:r>
          </w:p>
        </w:tc>
      </w:tr>
      <w:tr>
        <w:trPr/>
        <w:tc>
          <w:tcPr>
            <w:tcW w:w="4843" w:type="dxa"/>
            <w:tcBorders/>
          </w:tcPr>
          <w:p>
            <w:pPr>
              <w:pStyle w:val="TableText"/>
              <w:rPr/>
            </w:pPr>
            <w:r>
              <w:rPr/>
              <w:t>Name: _______________________</w:t>
            </w:r>
          </w:p>
        </w:tc>
        <w:tc>
          <w:tcPr>
            <w:tcW w:w="4573" w:type="dxa"/>
            <w:tcBorders/>
          </w:tcPr>
          <w:p>
            <w:pPr>
              <w:pStyle w:val="TableText"/>
              <w:rPr/>
            </w:pPr>
            <w:r>
              <w:rPr/>
              <w:t>Name:  _________________________</w:t>
            </w:r>
          </w:p>
        </w:tc>
      </w:tr>
      <w:tr>
        <w:trPr/>
        <w:tc>
          <w:tcPr>
            <w:tcW w:w="4843" w:type="dxa"/>
            <w:tcBorders/>
          </w:tcPr>
          <w:p>
            <w:pPr>
              <w:pStyle w:val="TableText"/>
              <w:rPr/>
            </w:pPr>
            <w:r>
              <w:rPr/>
              <w:t>Title: _________________________</w:t>
            </w:r>
          </w:p>
        </w:tc>
        <w:tc>
          <w:tcPr>
            <w:tcW w:w="4573" w:type="dxa"/>
            <w:tcBorders/>
          </w:tcPr>
          <w:p>
            <w:pPr>
              <w:pStyle w:val="TableText"/>
              <w:rPr/>
            </w:pPr>
            <w:r>
              <w:rPr/>
              <w:t>Title: ___________________________</w:t>
            </w:r>
          </w:p>
        </w:tc>
      </w:tr>
      <w:tr>
        <w:trPr/>
        <w:tc>
          <w:tcPr>
            <w:tcW w:w="4843" w:type="dxa"/>
            <w:tcBorders/>
          </w:tcPr>
          <w:p>
            <w:pPr>
              <w:pStyle w:val="TableText"/>
              <w:rPr/>
            </w:pPr>
            <w:r>
              <w:rPr/>
              <w:t>Date: _________________________</w:t>
            </w:r>
          </w:p>
          <w:p>
            <w:pPr>
              <w:pStyle w:val="TableText"/>
              <w:rPr/>
            </w:pPr>
            <w:r>
              <w:rPr/>
            </w:r>
          </w:p>
          <w:p>
            <w:pPr>
              <w:pStyle w:val="TableText"/>
              <w:rPr/>
            </w:pPr>
            <w:r>
              <w:rPr/>
              <w:t>Attest: _________________________</w:t>
            </w:r>
          </w:p>
        </w:tc>
        <w:tc>
          <w:tcPr>
            <w:tcW w:w="4573" w:type="dxa"/>
            <w:tcBorders/>
          </w:tcPr>
          <w:p>
            <w:pPr>
              <w:pStyle w:val="TableText"/>
              <w:rPr/>
            </w:pPr>
            <w:r>
              <w:rPr/>
              <w:t>Date:     _________________________</w:t>
            </w:r>
          </w:p>
        </w:tc>
      </w:tr>
    </w:tbl>
    <w:p>
      <w:pPr>
        <w:sectPr>
          <w:headerReference w:type="default" r:id="rId4"/>
          <w:headerReference w:type="first" r:id="rId5"/>
          <w:type w:val="nextPage"/>
          <w:pgSz w:w="12240" w:h="15840"/>
          <w:pgMar w:left="1800" w:right="1800" w:gutter="0" w:header="720" w:top="1440" w:footer="0" w:bottom="1440"/>
          <w:pgNumType w:start="1" w:fmt="decimal"/>
          <w:formProt w:val="false"/>
          <w:titlePg/>
          <w:textDirection w:val="lrTb"/>
          <w:docGrid w:type="default" w:linePitch="360" w:charSpace="0"/>
        </w:sectPr>
      </w:pP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STATE OF ILLINOIS</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COUNTY OF COOK</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ab/>
        <w:t>On this day, _________, known to me to be the person and officer whose name is subscribed to the foregoing instrument, personally appeared and acknowledged that he executed the same as the act of The Peoples Gas Light and Coke Company an Illinois corporation, for the purposes and considerations therein expressed, and in the capacity therein stated.</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ab/>
        <w:t xml:space="preserve">GIVEN MY HAND AND SEAL OF OFFICE, this </w:t>
      </w:r>
      <w:r>
        <w:rPr>
          <w:u w:val="single"/>
        </w:rPr>
        <w:t xml:space="preserve">       </w:t>
      </w:r>
      <w:r>
        <w:rPr/>
        <w:t xml:space="preserve"> day of __________, 2000.</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softHyphen/>
        <w:softHyphen/>
        <w:softHyphen/>
        <w:softHyphen/>
        <w:softHyphen/>
        <w:softHyphen/>
        <w:softHyphen/>
        <w:softHyphen/>
        <w:softHyphen/>
        <w:softHyphen/>
        <w:softHyphen/>
        <w:softHyphen/>
        <w:softHyphen/>
        <w:softHyphen/>
        <w:t>______________________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Notary Public in and for</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___________  County</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My Commission expires:  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ab/>
        <w:tab/>
        <w:tab/>
        <w:tab/>
      </w:r>
      <w:r>
        <w:br w:type="page"/>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STATE OF ________________________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COUNTY OF ______________________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ab/>
        <w:t>On this day, ____________, known to me to be the person and officer whose name is subscribed to the foregoing instrument, personally appeared and acknowledged that he executed the same as the act of Midwest Energy Hub, L.L.C., a Delaware limited liability company, for the purposes and considerations therein expressed, and in the capacity therein stated.</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ab/>
        <w:t xml:space="preserve">GIVEN MY HAND AND SEAL OF OFFICE, this </w:t>
      </w:r>
      <w:r>
        <w:rPr>
          <w:u w:val="single"/>
        </w:rPr>
        <w:t xml:space="preserve">        </w:t>
      </w:r>
      <w:r>
        <w:rPr/>
        <w:t xml:space="preserve"> day of ________________, 2000.</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______________________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Notary Public in and for</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___________  County</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t>My Commission expires:  _____________</w:t>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spacing w:lineRule="atLeast" w:line="480"/>
        <w:rPr/>
      </w:pPr>
      <w:r>
        <w:rPr/>
      </w:r>
    </w:p>
    <w:p>
      <w:pPr>
        <w:pStyle w:val="BodyText"/>
        <w:tabs>
          <w:tab w:val="clear" w:pos="720"/>
          <w:tab w:val="left" w:pos="1413" w:leader="none"/>
          <w:tab w:val="left" w:pos="2183" w:leader="none"/>
          <w:tab w:val="left" w:pos="2878" w:leader="none"/>
          <w:tab w:val="left" w:pos="3591" w:leader="none"/>
          <w:tab w:val="left" w:pos="4286" w:leader="none"/>
          <w:tab w:val="left" w:pos="5037" w:leader="none"/>
          <w:tab w:val="left" w:pos="5750" w:leader="none"/>
          <w:tab w:val="left" w:pos="6501" w:leader="none"/>
          <w:tab w:val="left" w:pos="7177" w:leader="none"/>
          <w:tab w:val="left" w:pos="7965" w:leader="none"/>
          <w:tab w:val="left" w:pos="8640" w:leader="none"/>
        </w:tabs>
        <w:rPr/>
      </w:pPr>
      <w:r>
        <w:rPr/>
        <w:tab/>
        <w:tab/>
        <w:tab/>
        <w:tab/>
        <w:tab/>
      </w:r>
    </w:p>
    <w:p>
      <w:pPr>
        <w:pStyle w:val="BodyText"/>
        <w:tabs>
          <w:tab w:val="left" w:pos="720" w:leader="none"/>
          <w:tab w:val="left" w:pos="1008" w:leader="none"/>
        </w:tabs>
        <w:spacing w:lineRule="auto" w:line="360"/>
        <w:rPr/>
      </w:pPr>
      <w:r>
        <w:rPr/>
      </w:r>
    </w:p>
    <w:sectPr>
      <w:headerReference w:type="default" r:id="rId6"/>
      <w:headerReference w:type="first" r:id="rId7"/>
      <w:type w:val="nextPage"/>
      <w:pgSz w:w="12240" w:h="15840"/>
      <w:pgMar w:left="1800" w:right="180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CONFIDENTIALDRAFT</w:t>
    </w:r>
  </w:p>
  <w:p>
    <w:pPr>
      <w:pStyle w:val="Header"/>
      <w:rPr>
        <w:b/>
        <w:sz w:val="22"/>
      </w:rPr>
    </w:pPr>
    <w:r>
      <w:rPr>
        <w:b/>
        <w:sz w:val="22"/>
      </w:rPr>
      <w:t>FOR DISCUSSION PURPOSES ONLY</w:t>
    </w:r>
  </w:p>
  <w:p>
    <w:pPr>
      <w:pStyle w:val="Header"/>
      <w:rPr>
        <w:b/>
        <w:sz w:val="22"/>
      </w:rPr>
    </w:pPr>
    <w:r>
      <w:rPr>
        <w:b/>
        <w:sz w:val="22"/>
      </w:rPr>
      <w:t>SUBJECT TO MANAGEMENT APPROVAL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CONFIDENTIAL/DRAFT</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69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Header"/>
      <w:jc w:val="center"/>
      <w:rPr>
        <w:b/>
        <w:sz w:val="22"/>
      </w:rPr>
    </w:pPr>
    <w:r>
      <w:rPr>
        <w:b/>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t>CONFIDENTIAL/DRAFT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2"/>
      </w:rPr>
    </w:pPr>
    <w:r>
      <w:rPr>
        <w:b/>
        <w:sz w:val="22"/>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Header"/>
                      <w:jc w:val="center"/>
                      <w:rPr>
                        <w:rStyle w:val="PageNumber"/>
                      </w:rPr>
                    </w:pPr>
                    <w:r>
                      <w:rPr/>
                    </w:r>
                  </w:p>
                </w:txbxContent>
              </v:textbox>
              <w10:wrap type="square"/>
            </v:rect>
          </w:pict>
        </mc:Fallback>
      </mc:AlternateContent>
    </w:r>
  </w:p>
  <w:p>
    <w:pPr>
      <w:pStyle w:val="Header"/>
      <w:jc w:val="center"/>
      <w:rPr>
        <w:b/>
        <w:sz w:val="22"/>
      </w:rPr>
    </w:pPr>
    <w:r>
      <w:rPr>
        <w:b/>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360"/>
        </w:tabs>
        <w:ind w:start="360" w:hanging="360"/>
      </w:pPr>
      <w:rPr/>
    </w:lvl>
  </w:abstractNum>
  <w:abstractNum w:abstractNumId="2">
    <w:lvl w:ilvl="0">
      <w:start w:val="2"/>
      <w:numFmt w:val="decimal"/>
      <w:lvlText w:val="%1."/>
      <w:lvlJc w:val="start"/>
      <w:pPr>
        <w:tabs>
          <w:tab w:val="num" w:pos="720"/>
        </w:tabs>
        <w:ind w:start="720" w:hanging="720"/>
      </w:pPr>
      <w:rPr/>
    </w:lvl>
  </w:abstractNum>
  <w:abstractNum w:abstractNumId="3">
    <w:lvl w:ilvl="0">
      <w:start w:val="12"/>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paragraph" w:styleId="Heading">
    <w:name w:val="Heading"/>
    <w:basedOn w:val="Normal"/>
    <w:next w:val="BodyText"/>
    <w:qFormat/>
    <w:pPr>
      <w:keepNext w:val="true"/>
      <w:keepLines/>
      <w:spacing w:before="144" w:after="0"/>
      <w:jc w:val="center"/>
    </w:pPr>
    <w:rPr>
      <w:b/>
      <w:color w:val="000000"/>
      <w:lang w:eastAsia="en-US"/>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3">
    <w:name w:val="Outline 3"/>
    <w:qFormat/>
    <w:pPr>
      <w:widowControl/>
      <w:bidi w:val="0"/>
      <w:spacing w:before="0" w:after="144"/>
      <w:ind w:firstLine="1440" w:start="0" w:end="0"/>
    </w:pPr>
    <w:rPr>
      <w:rFonts w:ascii="Arial" w:hAnsi="Arial" w:eastAsia="Times New Roman" w:cs="Arial"/>
      <w:color w:val="000000"/>
      <w:sz w:val="24"/>
      <w:szCs w:val="20"/>
      <w:lang w:val="en-US" w:eastAsia="en-US" w:bidi="hi-IN"/>
    </w:rPr>
  </w:style>
  <w:style w:type="paragraph" w:styleId="Outline5">
    <w:name w:val="Outline 5"/>
    <w:qFormat/>
    <w:pPr>
      <w:widowControl/>
      <w:bidi w:val="0"/>
      <w:spacing w:before="0" w:after="72"/>
      <w:ind w:hanging="0" w:start="1800" w:end="0"/>
    </w:pPr>
    <w:rPr>
      <w:rFonts w:ascii="Arial" w:hAnsi="Arial" w:eastAsia="Times New Roman" w:cs="Arial"/>
      <w:color w:val="000000"/>
      <w:sz w:val="24"/>
      <w:szCs w:val="20"/>
      <w:lang w:val="en-US" w:eastAsia="en-US" w:bidi="hi-IN"/>
    </w:rPr>
  </w:style>
  <w:style w:type="paragraph" w:styleId="NumberList">
    <w:name w:val="Number List"/>
    <w:next w:val="BodyText"/>
    <w:qFormat/>
    <w:pPr>
      <w:widowControl/>
      <w:bidi w:val="0"/>
      <w:spacing w:before="144" w:after="144"/>
      <w:ind w:firstLine="1440" w:start="0" w:end="0"/>
    </w:pPr>
    <w:rPr>
      <w:rFonts w:ascii="Arial" w:hAnsi="Arial" w:eastAsia="Times New Roman" w:cs="Arial"/>
      <w:color w:val="000000"/>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Text">
    <w:name w:val="Table Text"/>
    <w:qFormat/>
    <w:pPr>
      <w:widowControl/>
      <w:bidi w:val="0"/>
    </w:pPr>
    <w:rPr>
      <w:rFonts w:ascii="Arial" w:hAnsi="Arial" w:eastAsia="Times New Roman" w:cs="Arial"/>
      <w:color w:val="000000"/>
      <w:sz w:val="24"/>
      <w:szCs w:val="20"/>
      <w:lang w:val="en-US" w:eastAsia="en-US" w:bidi="hi-IN"/>
    </w:rPr>
  </w:style>
  <w:style w:type="paragraph" w:styleId="BodyTextIndent">
    <w:name w:val="Body Text Indent"/>
    <w:basedOn w:val="Normal"/>
    <w:pPr>
      <w:widowControl w:val="false"/>
      <w:tabs>
        <w:tab w:val="clear" w:pos="720"/>
        <w:tab w:val="left" w:pos="900" w:leader="none"/>
        <w:tab w:val="left" w:pos="1800" w:leader="none"/>
        <w:tab w:val="left" w:pos="2880" w:leader="none"/>
        <w:tab w:val="left" w:pos="5037" w:leader="none"/>
      </w:tabs>
      <w:spacing w:lineRule="atLeast" w:line="360" w:before="0" w:after="144"/>
      <w:ind w:firstLine="1710" w:start="90" w:end="0"/>
    </w:pPr>
    <w:rPr>
      <w:color w:val="000000"/>
      <w:lang w:eastAsia="en-US"/>
    </w:rPr>
  </w:style>
  <w:style w:type="paragraph" w:styleId="BodyText2">
    <w:name w:val="Body Text 2"/>
    <w:basedOn w:val="Normal"/>
    <w:qFormat/>
    <w:pPr>
      <w:spacing w:lineRule="auto" w:line="36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2000-05-23T11:19:00Z</dcterms:created>
  <dc:creator>KLYAS</dc:creator>
  <dc:description/>
  <dc:language>en-CA</dc:language>
  <cp:lastModifiedBy>rrodrig5</cp:lastModifiedBy>
  <cp:lastPrinted>2000-05-19T07:39:00Z</cp:lastPrinted>
  <dcterms:modified xsi:type="dcterms:W3CDTF">2000-05-23T11:19:00Z</dcterms:modified>
  <cp:revision>2</cp:revision>
  <dc:subject/>
  <dc:title>REVISED DRAFT (April 11, 1998)/FOR DISCUSSION PURPOSES ONLY</dc:title>
</cp:coreProperties>
</file>