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MEH</w:t>
            </w:r>
          </w:p>
          <w:p>
            <w:pPr>
              <w:pStyle w:val="Normal"/>
              <w:ind w:end="792"/>
              <w:rPr/>
            </w:pPr>
            <w:r>
              <w:rPr/>
              <w:t>Counterparty: Midwest Energy Hub, L.L.C.</w:t>
            </w:r>
          </w:p>
          <w:p>
            <w:pPr>
              <w:pStyle w:val="Normal"/>
              <w:rPr/>
            </w:pPr>
            <w:r>
              <w:rPr/>
              <w:t>Business Unit:  [                   ]</w:t>
            </w:r>
          </w:p>
          <w:p>
            <w:pPr>
              <w:pStyle w:val="Normal"/>
              <w:rPr/>
            </w:pPr>
            <w:r>
              <w:rPr/>
              <w:t>Business Unit Originator: Gregg Penman/Laura Luce</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58"/>
            </w:r>
            <w:r>
              <w:rPr/>
              <w:t>Private</w:t>
            </w:r>
          </w:p>
          <w:p>
            <w:pPr>
              <w:pStyle w:val="Normal"/>
              <w:tabs>
                <w:tab w:val="clear" w:pos="720"/>
                <w:tab w:val="left" w:pos="1530" w:leader="none"/>
              </w:tabs>
              <w:ind w:end="-738"/>
              <w:rPr/>
            </w:pPr>
            <w:r>
              <w:rPr>
                <w:rFonts w:cs="Wingdings" w:ascii="Wingdings" w:hAnsi="Wingdings"/>
              </w:rPr>
              <w:sym w:font="Wingdings" w:char="f05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5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08/09/00</w:t>
            </w:r>
          </w:p>
          <w:p>
            <w:pPr>
              <w:pStyle w:val="Normal"/>
              <w:ind w:firstLine="90" w:start="-198" w:end="-1095"/>
              <w:rPr/>
            </w:pPr>
            <w:r>
              <w:rPr/>
              <w:t>RAC Analyst:  n/a</w:t>
            </w:r>
          </w:p>
          <w:p>
            <w:pPr>
              <w:pStyle w:val="Normal"/>
              <w:ind w:firstLine="90" w:start="-198" w:end="-738"/>
              <w:rPr/>
            </w:pPr>
            <w:r>
              <w:rPr/>
              <w:t>Investment Type:  Debt</w:t>
            </w:r>
          </w:p>
          <w:p>
            <w:pPr>
              <w:pStyle w:val="Normal"/>
              <w:ind w:firstLine="90" w:start="-198" w:end="-738"/>
              <w:rPr/>
            </w:pPr>
            <w:r>
              <w:rPr/>
              <w:t>Capital Funding Source(s):  Balance Sheet</w:t>
            </w:r>
          </w:p>
          <w:p>
            <w:pPr>
              <w:pStyle w:val="Normal"/>
              <w:ind w:firstLine="90" w:start="-198" w:end="-738"/>
              <w:rPr/>
            </w:pPr>
            <w:r>
              <w:rPr/>
              <w:t>Expected Closing Date: 8/15/00</w:t>
            </w:r>
          </w:p>
          <w:p>
            <w:pPr>
              <w:pStyle w:val="Normal"/>
              <w:ind w:firstLine="90" w:start="-198" w:end="-738"/>
              <w:rPr/>
            </w:pPr>
            <w:r>
              <w:rPr/>
              <w:t>Expected Funding Date: 9/01/00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REQUESTED</w:t>
      </w:r>
    </w:p>
    <w:p>
      <w:pPr>
        <w:pStyle w:val="Normal"/>
        <w:numPr>
          <w:ilvl w:val="0"/>
          <w:numId w:val="9"/>
        </w:numPr>
        <w:rPr/>
      </w:pPr>
      <w:r>
        <w:rPr/>
        <w:t>To provide a revolver to an ENA/Peoples joint venture formed in 04/00 for short-term transaction cashflow funding needs.</w:t>
      </w:r>
    </w:p>
    <w:p>
      <w:pPr>
        <w:pStyle w:val="Normal"/>
        <w:rPr/>
      </w:pPr>
      <w:r>
        <w:rPr/>
      </w:r>
    </w:p>
    <w:p>
      <w:pPr>
        <w:pStyle w:val="Normal"/>
        <w:ind w:start="360" w:end="-36"/>
        <w:rPr/>
      </w:pPr>
      <w:r>
        <w:rPr/>
        <w:t>Capital Commitment</w:t>
        <w:tab/>
        <w:tab/>
        <w:t>$50.0 MM</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$50.0 MM</w:t>
      </w:r>
    </w:p>
    <w:p>
      <w:pPr>
        <w:pStyle w:val="Normal"/>
        <w:ind w:start="360" w:end="0"/>
        <w:rPr/>
      </w:pPr>
      <w:r>
        <w:rPr/>
        <w:t>Total Counterparty</w:t>
        <w:tab/>
        <w:tab/>
        <w:t>$50.0 MM [Was there capital investment in the formation of MEH?]</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numPr>
          <w:ilvl w:val="0"/>
          <w:numId w:val="10"/>
        </w:numPr>
        <w:rPr/>
      </w:pPr>
      <w:r>
        <w:rPr/>
        <w:t>ENA and Peoples Energy Corp. (“Peoples”) formed a 50/50 joint venture, Midwest Energy Hub, L.L.C (“MEH”) on 04/26/00 to expand and enhance Peoples’ existing natural gas market hub and provide natural gas marketing, transportation and storage services to the growing Chicago market</w:t>
      </w:r>
    </w:p>
    <w:p>
      <w:pPr>
        <w:pStyle w:val="Normal"/>
        <w:numPr>
          <w:ilvl w:val="0"/>
          <w:numId w:val="10"/>
        </w:numPr>
        <w:rPr/>
      </w:pPr>
      <w:r>
        <w:rPr/>
        <w:t xml:space="preserve">Pursuant to the MEH risk management policy, MEH intends to enter into various transactions designed to capture and manage risks related to the physical delivery of certain approved commodities, to provide related risk management services [to Peoples or third-parties?], to optimize various assets under management, to take advantage of market arbitrage opportunities and to manage positions within the approved limits.  Some of the activities, such as the seasonal spread opportunities [any other specific examples that will create similar cashflow mismatch?  What’s the duration of these typical cashflow mismatches and what might be the risks of not recovering the funded portion?], will create cashflow timing differences that require funding under the proposed revolver.  </w:t>
      </w:r>
    </w:p>
    <w:p>
      <w:pPr>
        <w:pStyle w:val="Normal"/>
        <w:numPr>
          <w:ilvl w:val="0"/>
          <w:numId w:val="10"/>
        </w:numPr>
        <w:rPr/>
      </w:pPr>
      <w:r>
        <w:rPr/>
        <w:t>The revolver is not intended to fund ongoing O&amp;M needs nor any anticipated capital expenditure.  Ongoing O&amp;M needs such as rent, utilities, salaries, etc. will be borne directly by either ENA or Peoples and not MEH.  Any desired capital expenditure will be subject to the defined corporate approval process and, if approved, will likely be funded by additional capital contributions from ENA and Peoples to MEH.</w:t>
      </w:r>
    </w:p>
    <w:p>
      <w:pPr>
        <w:pStyle w:val="Normal"/>
        <w:numPr>
          <w:ilvl w:val="0"/>
          <w:numId w:val="10"/>
        </w:numPr>
        <w:rPr/>
      </w:pPr>
      <w:r>
        <w:rPr/>
        <w:t>The revolver will carry an interest rate of [                ] and a term of 12 months.  Upon maturity, it is expected to be replaced by additional equity contribution from ENA and Peoples.  [Net excess cash will be applied to the repayment of the revolver before any distribution, including special distributions, can be made to the members.]</w:t>
      </w:r>
    </w:p>
    <w:p>
      <w:pPr>
        <w:pStyle w:val="Normal"/>
        <w:numPr>
          <w:ilvl w:val="0"/>
          <w:numId w:val="10"/>
        </w:numPr>
        <w:rPr/>
      </w:pPr>
      <w:r>
        <w:rPr/>
        <w:t>Peoples, [rated A- and A1] by S&amp;P and Moody’s, respectively, will provide ENE with a $25 MM guarantee to cover Peoples’ share of the potential MEH liability.</w:t>
      </w:r>
    </w:p>
    <w:p>
      <w:pPr>
        <w:pStyle w:val="Header"/>
        <w:widowControl/>
        <w:numPr>
          <w:ilvl w:val="0"/>
          <w:numId w:val="11"/>
        </w:numPr>
        <w:tabs>
          <w:tab w:val="clear" w:pos="4320"/>
          <w:tab w:val="clear" w:pos="8640"/>
        </w:tabs>
        <w:rPr/>
      </w:pPr>
      <w:r>
        <w:rPr/>
        <w:t>The initial requested amount is based on the current estimate of MEH’s business needs and cash flow forecasts.  MEH will review the need for revisions and renewals to the credit facility as business conditions dictate, but no less frequently than annually.  Any requested revisions or renewals will follow any necessary ENE approval processes.</w:t>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Enron Revolver</w:t>
            </w:r>
          </w:p>
        </w:tc>
        <w:tc>
          <w:tcPr>
            <w:tcW w:w="1260" w:type="dxa"/>
            <w:tcBorders/>
          </w:tcPr>
          <w:p>
            <w:pPr>
              <w:pStyle w:val="Normal"/>
              <w:jc w:val="end"/>
              <w:rPr/>
            </w:pPr>
            <w:r>
              <w:rPr/>
              <w:t>$50.0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Working Capital</w:t>
            </w:r>
          </w:p>
        </w:tc>
        <w:tc>
          <w:tcPr>
            <w:tcW w:w="1260" w:type="dxa"/>
            <w:tcBorders/>
          </w:tcPr>
          <w:p>
            <w:pPr>
              <w:pStyle w:val="Normal"/>
              <w:jc w:val="end"/>
              <w:rPr/>
            </w:pPr>
            <w:r>
              <w:rPr/>
              <w:t>$50.0</w:t>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$50.0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$50.0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p>
      <w:pPr>
        <w:pStyle w:val="Normal"/>
        <w:numPr>
          <w:ilvl w:val="0"/>
          <w:numId w:val="6"/>
        </w:numPr>
        <w:rPr/>
      </w:pPr>
      <w:r>
        <w:rPr/>
        <w:t xml:space="preserve">The interest rate of [                       ] is deemed to be [on par] with a market comparable transaction of similar risks.  </w:t>
      </w:r>
    </w:p>
    <w:p>
      <w:pPr>
        <w:pStyle w:val="Normal"/>
        <w:rPr/>
      </w:pPr>
      <w:r>
        <w:rPr/>
      </w:r>
    </w:p>
    <w:p>
      <w:pPr>
        <w:pStyle w:val="Header"/>
        <w:widowControl/>
        <w:tabs>
          <w:tab w:val="clear" w:pos="4320"/>
          <w:tab w:val="clear" w:pos="8640"/>
        </w:tabs>
        <w:rPr/>
      </w:pPr>
      <w:r>
        <w:rPr/>
      </w:r>
    </w:p>
    <w:p>
      <w:pPr>
        <w:pStyle w:val="Normal"/>
        <w:numPr>
          <w:ilvl w:val="0"/>
          <w:numId w:val="0"/>
        </w:numPr>
        <w:rPr/>
      </w:pPr>
      <w:r>
        <w:rPr/>
      </w:r>
      <w:r>
        <w:br w:type="page"/>
      </w:r>
      <w:r>
        <mc:AlternateContent>
          <mc:Choice Requires="wps">
            <w:drawing>
              <wp:anchor behindDoc="0" distT="0" distB="0" distL="114935" distR="114935" simplePos="0" locked="0" layoutInCell="1" allowOverlap="1" relativeHeight="2">
                <wp:simplePos x="0" y="0"/>
                <wp:positionH relativeFrom="column">
                  <wp:posOffset>1097280</wp:posOffset>
                </wp:positionH>
                <wp:positionV relativeFrom="paragraph">
                  <wp:posOffset>123190</wp:posOffset>
                </wp:positionV>
                <wp:extent cx="274320" cy="182880"/>
                <wp:effectExtent l="0" t="0" r="0" b="0"/>
                <wp:wrapNone/>
                <wp:docPr id="1" name="Frame1"/>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14.4pt;mso-wrap-distance-left:9.05pt;mso-wrap-distance-right:9.05pt;mso-wrap-distance-top:0pt;mso-wrap-distance-bottom:0pt;margin-top:9.7pt;mso-position-vertical-relative:text;margin-left:86.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b/>
        </w:rPr>
      </w:pPr>
      <w:r>
        <w:rPr>
          <w:b/>
        </w:rPr>
        <w:t>TRANSACTION UPSIDES/OPTIONALITY – N/A</w:t>
      </w:r>
    </w:p>
    <w:p>
      <w:pPr>
        <w:pStyle w:val="Normal"/>
        <w:ind w:end="-36"/>
        <w:rPr>
          <w:b/>
        </w:rPr>
      </w:pPr>
      <w:r>
        <w:rPr>
          <w:b/>
        </w:rPr>
      </w:r>
    </w:p>
    <w:p>
      <w:pPr>
        <w:pStyle w:val="Normal"/>
        <w:pBdr>
          <w:top w:val="single" w:sz="8" w:space="1" w:color="000000"/>
        </w:pBdr>
        <w:ind w:end="-36"/>
        <w:rPr>
          <w:b/>
        </w:rPr>
      </w:pPr>
      <w:r>
        <w:rPr>
          <w:b/>
        </w:rPr>
        <w:t>EXIT STRATEGY – [any plan to syndicate the revolver?]</w:t>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Counterparty Credit Risks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780"/>
        <w:gridCol w:w="1260"/>
        <w:gridCol w:w="1260"/>
        <w:gridCol w:w="1350"/>
        <w:gridCol w:w="1260"/>
        <w:gridCol w:w="108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tcBorders>
          </w:tcPr>
          <w:p>
            <w:pPr>
              <w:pStyle w:val="Normal"/>
              <w:jc w:val="center"/>
              <w:rPr>
                <w:b/>
              </w:rPr>
            </w:pPr>
            <w:r>
              <w:rPr>
                <w:b/>
              </w:rPr>
              <w:t>Poor</w:t>
            </w:r>
          </w:p>
        </w:tc>
        <w:tc>
          <w:tcPr>
            <w:tcW w:w="1260" w:type="dxa"/>
            <w:tcBorders>
              <w:top w:val="single" w:sz="4" w:space="0" w:color="000000"/>
            </w:tcBorders>
          </w:tcPr>
          <w:p>
            <w:pPr>
              <w:pStyle w:val="Normal"/>
              <w:jc w:val="center"/>
              <w:rPr>
                <w:b/>
              </w:rPr>
            </w:pPr>
            <w:r>
              <w:rPr>
                <w:b/>
              </w:rPr>
              <w:t>Fair</w:t>
            </w:r>
          </w:p>
        </w:tc>
        <w:tc>
          <w:tcPr>
            <w:tcW w:w="1350" w:type="dxa"/>
            <w:tcBorders>
              <w:top w:val="single" w:sz="4" w:space="0" w:color="000000"/>
            </w:tcBorders>
          </w:tcPr>
          <w:p>
            <w:pPr>
              <w:pStyle w:val="Normal"/>
              <w:jc w:val="center"/>
              <w:rPr>
                <w:b/>
              </w:rPr>
            </w:pPr>
            <w:r>
              <w:rPr>
                <w:b/>
              </w:rPr>
              <w:t>Good</w:t>
            </w:r>
          </w:p>
        </w:tc>
        <w:tc>
          <w:tcPr>
            <w:tcW w:w="1260" w:type="dxa"/>
            <w:tcBorders>
              <w:top w:val="single" w:sz="4" w:space="0" w:color="000000"/>
            </w:tcBorders>
          </w:tcPr>
          <w:p>
            <w:pPr>
              <w:pStyle w:val="Normal"/>
              <w:jc w:val="center"/>
              <w:rPr>
                <w:b/>
              </w:rPr>
            </w:pPr>
            <w:r>
              <w:rPr>
                <w:b/>
              </w:rPr>
              <w:t>Very Good</w:t>
            </w:r>
          </w:p>
        </w:tc>
        <w:tc>
          <w:tcPr>
            <w:tcW w:w="1080" w:type="dxa"/>
            <w:tcBorders>
              <w:top w:val="single" w:sz="4" w:space="0" w:color="000000"/>
              <w:end w:val="single" w:sz="4" w:space="0" w:color="000000"/>
            </w:tcBorders>
          </w:tcPr>
          <w:p>
            <w:pPr>
              <w:pStyle w:val="Normal"/>
              <w:jc w:val="center"/>
              <w:rPr>
                <w:b/>
              </w:rPr>
            </w:pPr>
            <w:r>
              <w:rPr>
                <w:b/>
              </w:rPr>
              <w:t>Excellent</w:t>
            </w:r>
          </w:p>
        </w:tc>
      </w:tr>
      <w:tr>
        <w:trPr/>
        <w:tc>
          <w:tcPr>
            <w:tcW w:w="3780" w:type="dxa"/>
            <w:tcBorders>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 xml:space="preserve">Management - Developers       </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260" w:type="dxa"/>
            <w:tcBorders>
              <w:top w:val="single" w:sz="4" w:space="0" w:color="000000"/>
              <w:bottom w:val="single" w:sz="4" w:space="0" w:color="000000"/>
            </w:tcBorders>
          </w:tcPr>
          <w:p>
            <w:pPr>
              <w:pStyle w:val="Normal"/>
              <w:snapToGrid w:val="false"/>
              <w:jc w:val="center"/>
              <w:rPr/>
            </w:pPr>
            <w:r>
              <w:rPr/>
            </w:r>
          </w:p>
        </w:tc>
        <w:tc>
          <w:tcPr>
            <w:tcW w:w="1260" w:type="dxa"/>
            <w:tcBorders>
              <w:top w:val="single" w:sz="4" w:space="0" w:color="000000"/>
              <w:bottom w:val="single" w:sz="4" w:space="0" w:color="000000"/>
            </w:tcBorders>
          </w:tcPr>
          <w:p>
            <w:pPr>
              <w:pStyle w:val="Normal"/>
              <w:snapToGrid w:val="false"/>
              <w:jc w:val="center"/>
              <w:rPr/>
            </w:pPr>
            <w:r>
              <w:rPr/>
            </w:r>
          </w:p>
        </w:tc>
        <w:tc>
          <w:tcPr>
            <w:tcW w:w="1350" w:type="dxa"/>
            <w:tcBorders>
              <w:top w:val="single" w:sz="4" w:space="0" w:color="000000"/>
              <w:bottom w:val="single" w:sz="4" w:space="0" w:color="000000"/>
            </w:tcBorders>
          </w:tcPr>
          <w:p>
            <w:pPr>
              <w:pStyle w:val="Normal"/>
              <w:snapToGrid w:val="false"/>
              <w:jc w:val="center"/>
              <w:rPr/>
            </w:pPr>
            <w:r>
              <w:rPr/>
            </w:r>
          </w:p>
        </w:tc>
        <w:tc>
          <w:tcPr>
            <w:tcW w:w="1260" w:type="dxa"/>
            <w:tcBorders>
              <w:top w:val="single" w:sz="4" w:space="0" w:color="000000"/>
              <w:bottom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Heading1"/>
        <w:ind w:hanging="0" w:start="0"/>
        <w:rPr/>
      </w:pP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Jeffrey Skilling/Joe Sutton</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2"/>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$10,000</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$10,000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7"/>
        </w:numPr>
        <w:rPr/>
      </w:pPr>
      <w:r>
        <w:rPr>
          <w:b/>
        </w:rPr>
        <w:t>Investment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Financing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Legal or practical liquidity restrictions:</w:t>
      </w:r>
      <w:r>
        <w:rPr/>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7"/>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br/>
      </w:r>
    </w:p>
    <w:p>
      <w:pPr>
        <w:pStyle w:val="Normal"/>
        <w:numPr>
          <w:ilvl w:val="0"/>
          <w:numId w:val="4"/>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8"/>
        </w:numPr>
        <w:rPr/>
      </w:pPr>
      <w:r>
        <w:rPr>
          <w:b/>
        </w:rPr>
        <w:t>Intended Enron hold period:</w:t>
      </w:r>
      <w:r>
        <w:rPr/>
        <w:br/>
        <w:br/>
        <w:br/>
        <w:br/>
      </w:r>
    </w:p>
    <w:p>
      <w:pPr>
        <w:pStyle w:val="Normal"/>
        <w:numPr>
          <w:ilvl w:val="0"/>
          <w:numId w:val="3"/>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3">
                <wp:simplePos x="0" y="0"/>
                <wp:positionH relativeFrom="column">
                  <wp:posOffset>3749040</wp:posOffset>
                </wp:positionH>
                <wp:positionV relativeFrom="paragraph">
                  <wp:posOffset>132715</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ind w:start="5040" w:end="0"/>
        <w:rPr/>
      </w:pPr>
      <w:r>
        <w:rPr/>
      </w:r>
    </w:p>
    <w:p>
      <w:pPr>
        <w:pStyle w:val="Normal"/>
        <w:numPr>
          <w:ilvl w:val="0"/>
          <w:numId w:val="5"/>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4">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5760720</wp:posOffset>
                </wp:positionH>
                <wp:positionV relativeFrom="paragraph">
                  <wp:posOffset>90805</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/mnt/main-storage/datasets/enron-docs/doc/MEH_DASH_0809.doc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Clampett Oil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rFonts w:ascii="Wingdings" w:hAnsi="Wingdings" w:cs="Wingdings"/>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2000-08-09T19:47:00Z</dcterms:created>
  <dc:creator>mruane</dc:creator>
  <dc:description>MR: 9-20-99 added tax signoff</dc:description>
  <dc:language>en-CA</dc:language>
  <cp:lastModifiedBy>kbarbou</cp:lastModifiedBy>
  <cp:lastPrinted>1999-08-18T14:06:00Z</cp:lastPrinted>
  <dcterms:modified xsi:type="dcterms:W3CDTF">2000-08-09T20:15:00Z</dcterms:modified>
  <cp:revision>4</cp:revision>
  <dc:subject/>
  <dc:title>ENRON RISK ASSESSMENT AND CONTROL</dc:title>
</cp:coreProperties>
</file>