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MEH Cash Management Policy</w:t>
      </w:r>
    </w:p>
    <w:p>
      <w:pPr>
        <w:pStyle w:val="Normal"/>
        <w:jc w:val="center"/>
        <w:rPr>
          <w:b/>
        </w:rPr>
      </w:pPr>
      <w:r>
        <w:rPr>
          <w:b/>
        </w:rPr>
      </w:r>
    </w:p>
    <w:p>
      <w:pPr>
        <w:pStyle w:val="Normal"/>
        <w:rPr>
          <w:b/>
        </w:rPr>
      </w:pPr>
      <w:r>
        <w:rPr>
          <w:b/>
        </w:rPr>
        <w:t>I.  General Authorization</w:t>
      </w:r>
    </w:p>
    <w:p>
      <w:pPr>
        <w:pStyle w:val="Normal"/>
        <w:rPr/>
      </w:pPr>
      <w:r>
        <w:rPr/>
        <w:t xml:space="preserve">Midwest Energy Hub, L.L.C. (MEH) will authorize Enron Treasury to manage MEH’s daily cash position, including receipts and disbursements, in accordance with the provisions of the MEH Cash Management Policy.  </w:t>
      </w:r>
    </w:p>
    <w:p>
      <w:pPr>
        <w:pStyle w:val="Normal"/>
        <w:rPr/>
      </w:pPr>
      <w:r>
        <w:rPr/>
      </w:r>
    </w:p>
    <w:p>
      <w:pPr>
        <w:pStyle w:val="Normal"/>
        <w:rPr>
          <w:b/>
        </w:rPr>
      </w:pPr>
      <w:r>
        <w:rPr>
          <w:b/>
        </w:rPr>
        <w:t>II.  Cash Forecast</w:t>
      </w:r>
    </w:p>
    <w:p>
      <w:pPr>
        <w:pStyle w:val="Normal"/>
        <w:rPr/>
      </w:pPr>
      <w:r>
        <w:rPr/>
        <w:t xml:space="preserve">MEH will be responsible for preparing an annual operating budget before August 1 of each year including projected capital expenditures and working capital needs.   MEH will review the operating budget and make any recommendations regarding the Credit Facility to the MEH Board of Managers.  </w:t>
      </w:r>
    </w:p>
    <w:p>
      <w:pPr>
        <w:pStyle w:val="Normal"/>
        <w:rPr/>
      </w:pPr>
      <w:r>
        <w:rPr/>
      </w:r>
    </w:p>
    <w:p>
      <w:pPr>
        <w:pStyle w:val="Normal"/>
        <w:rPr/>
      </w:pPr>
      <w:r>
        <w:rPr/>
        <w:t xml:space="preserve">Enron Treasury will manage the cash position in accordance with the daily cash forecast maintained by MEH.  All transactions executed by MEH will be entered into Enron’s trading systems for tracking and reporting.  This information will automatically flow through to the daily cash forecast.  Any Credit Facility draws or Investments will only be made after reviewing the daily cash forecast.  Any information that is not on the daily cash forecast by [10:00 a.m.] will be considered next day’s business.  Special exceptions will be made only to the extent Enron Treasury can accommodate such requests.  </w:t>
      </w:r>
    </w:p>
    <w:p>
      <w:pPr>
        <w:pStyle w:val="Normal"/>
        <w:rPr>
          <w:b/>
        </w:rPr>
      </w:pPr>
      <w:r>
        <w:rPr>
          <w:b/>
        </w:rPr>
      </w:r>
    </w:p>
    <w:p>
      <w:pPr>
        <w:pStyle w:val="Normal"/>
        <w:rPr>
          <w:b/>
        </w:rPr>
      </w:pPr>
      <w:r>
        <w:rPr>
          <w:b/>
        </w:rPr>
        <w:t>III.  Credit Facility</w:t>
      </w:r>
    </w:p>
    <w:p>
      <w:pPr>
        <w:pStyle w:val="Normal"/>
        <w:rPr/>
      </w:pPr>
      <w:r>
        <w:rPr/>
        <w:t xml:space="preserve">Enron Treasury will provide MEH with a revolving credit facility (Credit Facility) for daily net cash shortfalls.  Subject to the Credit Facility Cap, Enron Treasury will fund any net cash shortfall necessary to make disbursements required for that day.  Enron Treasury will coordinate with Enron Accounting to monitor and report the outstanding Credit Facility balance.  The MEH Board of Managers will be notified at the first to occur of a) the Credit Facility Cap will be exceeded based on a forward 30 day cash forecast or b) the outstanding Credit Facility balance is [80%] of the Credit Facility Cap.  Only the Board of Managers or its designee may authorize any temporary Credit Facility Cap overruns and/or a permanent increase in the Credit Facility Cap. </w:t>
      </w:r>
    </w:p>
    <w:p>
      <w:pPr>
        <w:pStyle w:val="Normal"/>
        <w:rPr/>
      </w:pPr>
      <w:r>
        <w:rPr/>
      </w:r>
    </w:p>
    <w:p>
      <w:pPr>
        <w:pStyle w:val="Normal"/>
        <w:rPr/>
      </w:pPr>
      <w:r>
        <w:rPr/>
        <w:t>All outstanding balances under the Credit Facility will accrue interest at a rate equal to the [Prime Rate] in effect as reported by Citibank, N.A.  [Will interest payments need to be funded?]</w:t>
      </w:r>
    </w:p>
    <w:p>
      <w:pPr>
        <w:pStyle w:val="Normal"/>
        <w:rPr/>
      </w:pPr>
      <w:r>
        <w:rPr/>
      </w:r>
    </w:p>
    <w:p>
      <w:pPr>
        <w:pStyle w:val="Normal"/>
        <w:rPr/>
      </w:pPr>
      <w:r>
        <w:rPr/>
        <w:t xml:space="preserve">Based on review of expected working capital requirements, the initial Credit Facility Cap will be [$50 million].  </w:t>
      </w:r>
    </w:p>
    <w:p>
      <w:pPr>
        <w:pStyle w:val="Normal"/>
        <w:rPr/>
      </w:pPr>
      <w:r>
        <w:rPr/>
      </w:r>
    </w:p>
    <w:p>
      <w:pPr>
        <w:pStyle w:val="Normal"/>
        <w:rPr>
          <w:b/>
        </w:rPr>
      </w:pPr>
      <w:r>
        <w:rPr>
          <w:b/>
        </w:rPr>
        <w:t>IV.  Investment Guidelines</w:t>
      </w:r>
    </w:p>
    <w:p>
      <w:pPr>
        <w:pStyle w:val="Normal"/>
        <w:rPr/>
      </w:pPr>
      <w:r>
        <w:rPr/>
        <w:t>Enron Treasury will manage net daily excess cash according to the following priorities:</w:t>
      </w:r>
    </w:p>
    <w:p>
      <w:pPr>
        <w:pStyle w:val="Normal"/>
        <w:numPr>
          <w:ilvl w:val="0"/>
          <w:numId w:val="2"/>
        </w:numPr>
        <w:rPr/>
      </w:pPr>
      <w:r>
        <w:rPr/>
        <w:t>Pay any Special Distributions pursuant to Section 4.4.2 of the MEH Operating Agreement</w:t>
      </w:r>
    </w:p>
    <w:p>
      <w:pPr>
        <w:pStyle w:val="Normal"/>
        <w:numPr>
          <w:ilvl w:val="0"/>
          <w:numId w:val="2"/>
        </w:numPr>
        <w:rPr/>
      </w:pPr>
      <w:r>
        <w:rPr/>
        <w:t>Pay down any outstanding Credit Facility balances</w:t>
      </w:r>
    </w:p>
    <w:p>
      <w:pPr>
        <w:pStyle w:val="Normal"/>
        <w:numPr>
          <w:ilvl w:val="0"/>
          <w:numId w:val="2"/>
        </w:numPr>
        <w:rPr/>
      </w:pPr>
      <w:r>
        <w:rPr/>
        <w:t>Pay any Member distributions as approved by the Board of Managers</w:t>
      </w:r>
    </w:p>
    <w:p>
      <w:pPr>
        <w:pStyle w:val="Normal"/>
        <w:numPr>
          <w:ilvl w:val="0"/>
          <w:numId w:val="2"/>
        </w:numPr>
        <w:rPr/>
      </w:pPr>
      <w:r>
        <w:rPr/>
        <w:t>Invest funds in Approved Investments only</w:t>
      </w:r>
    </w:p>
    <w:p>
      <w:pPr>
        <w:pStyle w:val="Normal"/>
        <w:rPr/>
      </w:pPr>
      <w:r>
        <w:rPr/>
      </w:r>
    </w:p>
    <w:p>
      <w:pPr>
        <w:pStyle w:val="Normal"/>
        <w:rPr/>
      </w:pPr>
      <w:r>
        <w:rPr/>
        <w:t>Initial Approved Investments will be limited to A-1/P-1 rated commercial paper [Will treasuries be included?].  Only the Board of Managers or its designee can approve any additional Approved Investments.</w:t>
      </w:r>
    </w:p>
    <w:p>
      <w:pPr>
        <w:pStyle w:val="Normal"/>
        <w:rPr/>
      </w:pPr>
      <w:r>
        <w:rPr/>
      </w:r>
    </w:p>
    <w:p>
      <w:pPr>
        <w:pStyle w:val="Normal"/>
        <w:rPr/>
      </w:pPr>
      <w:r>
        <w:rPr/>
        <w:t xml:space="preserve">Enron Treasury will attempt to minimize any potential negative arbitrage resulting from simultaneously outstanding Investments and Credit Facility Loans.  However, Enron Treasury will be allowed to use its discretion to make Investments up to a maximum term of [30] days in order to achieve a higher yield.  </w:t>
      </w:r>
    </w:p>
    <w:p>
      <w:pPr>
        <w:pStyle w:val="Normal"/>
        <w:rPr/>
      </w:pPr>
      <w:r>
        <w:rPr/>
      </w:r>
    </w:p>
    <w:p>
      <w:pPr>
        <w:pStyle w:val="Normal"/>
        <w:rPr>
          <w:b/>
        </w:rPr>
      </w:pPr>
      <w:r>
        <w:rPr>
          <w:b/>
        </w:rPr>
        <w:t>V.  Additional Capital Contributions</w:t>
      </w:r>
    </w:p>
    <w:p>
      <w:pPr>
        <w:pStyle w:val="Normal"/>
        <w:rPr/>
      </w:pPr>
      <w:r>
        <w:rPr/>
        <w:t>The Board of Managers or its designee will periodically, but no less frequently than annually, review the need for additional capital contributions from each Member to replace any minimum Credit Facility balance greater than zero over a twelve month period.</w:t>
      </w:r>
    </w:p>
    <w:p>
      <w:pPr>
        <w:pStyle w:val="Normal"/>
        <w:rPr/>
      </w:pPr>
      <w:r>
        <w:rPr/>
      </w:r>
    </w:p>
    <w:p>
      <w:pPr>
        <w:pStyle w:val="Normal"/>
        <w:keepNext w:val="true"/>
        <w:keepLines/>
        <w:rPr>
          <w:b/>
        </w:rPr>
      </w:pPr>
      <w:r>
        <w:rPr>
          <w:b/>
        </w:rPr>
        <w:t>VI.  Distributions</w:t>
      </w:r>
    </w:p>
    <w:p>
      <w:pPr>
        <w:pStyle w:val="Normal"/>
        <w:keepNext w:val="true"/>
        <w:keepLines/>
        <w:rPr/>
      </w:pPr>
      <w:r>
        <w:rPr/>
        <w:t>Enron Treasury shall only make distributions of excess cash to the Members a) with the written consent of all Members and b) after any Special Distributions have been made.</w:t>
      </w:r>
    </w:p>
    <w:p>
      <w:pPr>
        <w:pStyle w:val="Normal"/>
        <w:rPr/>
      </w:pPr>
      <w:r>
        <w:rPr/>
      </w:r>
    </w:p>
    <w:p>
      <w:pPr>
        <w:pStyle w:val="Normal"/>
        <w:rPr>
          <w:b/>
        </w:rPr>
      </w:pPr>
      <w:r>
        <w:rPr>
          <w:b/>
        </w:rPr>
        <w:t>VII.  Reporting Procedure</w:t>
      </w:r>
    </w:p>
    <w:p>
      <w:pPr>
        <w:pStyle w:val="Normal"/>
        <w:rPr/>
      </w:pPr>
      <w:r>
        <w:rPr/>
        <w:t>Enron Accounting will coordinate with Enron Treasury to monitor and report the outstanding Credit Facility balance and notify Enron Treasury if any Special Distributions are required.  [Need input on the coordination procedures]</w:t>
      </w:r>
    </w:p>
    <w:p>
      <w:pPr>
        <w:pStyle w:val="Normal"/>
        <w:rPr/>
      </w:pPr>
      <w:r>
        <w:rPr/>
      </w:r>
    </w:p>
    <w:p>
      <w:pPr>
        <w:pStyle w:val="Normal"/>
        <w:rPr/>
      </w:pPr>
      <w:r>
        <w:rPr/>
        <w:t>Open Issues:</w:t>
      </w:r>
    </w:p>
    <w:p>
      <w:pPr>
        <w:pStyle w:val="Normal"/>
        <w:rPr/>
      </w:pPr>
      <w:r>
        <w:rPr/>
      </w:r>
    </w:p>
    <w:p>
      <w:pPr>
        <w:pStyle w:val="Normal"/>
        <w:rPr>
          <w:i/>
          <w:i/>
          <w:u w:val="single"/>
        </w:rPr>
      </w:pPr>
      <w:r>
        <w:rPr>
          <w:i/>
          <w:u w:val="single"/>
        </w:rPr>
        <w:t>NSS Program 1 and 2</w:t>
      </w:r>
    </w:p>
    <w:p>
      <w:pPr>
        <w:pStyle w:val="Normal"/>
        <w:rPr/>
      </w:pPr>
      <w:r>
        <w:rPr/>
        <w:t xml:space="preserve">NSS is currently optimized through an agreement between Enron MW, L.L.C. (EMW) and Peoples Gas and Light Co. (PGL).  EMW purchases the gas from Enron’s Central Desk for injection with an offsetting sale to PGL for delivery in a future month.  PGL will make payments to EMW, including cost of funds equal to LIBOR plus 100 basis points, when gas is delivered.  </w:t>
      </w:r>
    </w:p>
    <w:p>
      <w:pPr>
        <w:pStyle w:val="Normal"/>
        <w:rPr/>
      </w:pPr>
      <w:r>
        <w:rPr/>
      </w:r>
    </w:p>
    <w:p>
      <w:pPr>
        <w:pStyle w:val="Normal"/>
        <w:rPr/>
      </w:pPr>
      <w:r>
        <w:rPr/>
        <w:t>Therefore, under the current NSS structure, cashflow requirements do not need to fall under the proposed MEH Cash Management Policy.  However, the NSS optimization agreement will be transferred from EMW to MEH upon receipt of approval from the Illinois Commerce Commission to conduct affiliate transactions (approximately 4-6 months).  At that time, the MEH Cash Management Policy will be applicable as it will become necessary for MEH to make cash payments to gas suppliers (including Enron’s Central Desk).  Do we want to make the cost of funds consistent for when NSS rolls over to MEH?  Do we want to set one Credit Facility Cap today and increase it when NSS rolls over to MEH?  Any other thoughts?</w:t>
      </w:r>
    </w:p>
    <w:p>
      <w:pPr>
        <w:pStyle w:val="Normal"/>
        <w:rPr>
          <w:b/>
        </w:rPr>
      </w:pPr>
      <w:r>
        <w:rPr>
          <w:b/>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360"/>
        </w:tabs>
        <w:ind w:start="0" w:hanging="0"/>
      </w:pPr>
    </w:lvl>
    <w:lvl w:ilvl="1">
      <w:start w:val="1"/>
      <w:pStyle w:val="Heading2"/>
      <w:numFmt w:val="upperLetter"/>
      <w:lvlText w:val="%2."/>
      <w:lvlJc w:val="start"/>
      <w:pPr>
        <w:tabs>
          <w:tab w:val="num" w:pos="1080"/>
        </w:tabs>
        <w:ind w:start="720" w:hanging="0"/>
      </w:pPr>
    </w:lvl>
    <w:lvl w:ilvl="2">
      <w:start w:val="1"/>
      <w:pStyle w:val="Heading3"/>
      <w:numFmt w:val="decimal"/>
      <w:lvlText w:val="%3."/>
      <w:lvlJc w:val="start"/>
      <w:pPr>
        <w:tabs>
          <w:tab w:val="num" w:pos="1800"/>
        </w:tabs>
        <w:ind w:start="1440" w:hanging="0"/>
      </w:pPr>
    </w:lvl>
    <w:lvl w:ilvl="3">
      <w:start w:val="1"/>
      <w:pStyle w:val="Heading4"/>
      <w:numFmt w:val="lowerLetter"/>
      <w:lvlText w:val="%4)"/>
      <w:lvlJc w:val="start"/>
      <w:pPr>
        <w:tabs>
          <w:tab w:val="num" w:pos="2520"/>
        </w:tabs>
        <w:ind w:start="2160" w:hanging="0"/>
      </w:pPr>
    </w:lvl>
    <w:lvl w:ilvl="4">
      <w:start w:val="1"/>
      <w:pStyle w:val="Heading5"/>
      <w:numFmt w:val="decimal"/>
      <w:lvlText w:val="(%5)"/>
      <w:lvlJc w:val="start"/>
      <w:pPr>
        <w:tabs>
          <w:tab w:val="num" w:pos="3240"/>
        </w:tabs>
        <w:ind w:start="2880" w:hanging="0"/>
      </w:pPr>
    </w:lvl>
    <w:lvl w:ilvl="5">
      <w:start w:val="1"/>
      <w:pStyle w:val="Heading6"/>
      <w:numFmt w:val="lowerLetter"/>
      <w:lvlText w:val="(%6)"/>
      <w:lvlJc w:val="start"/>
      <w:pPr>
        <w:tabs>
          <w:tab w:val="num" w:pos="3960"/>
        </w:tabs>
        <w:ind w:start="3600" w:hanging="0"/>
      </w:pPr>
    </w:lvl>
    <w:lvl w:ilvl="6">
      <w:start w:val="1"/>
      <w:pStyle w:val="Heading7"/>
      <w:numFmt w:val="lowerRoman"/>
      <w:lvlText w:val="(%7)"/>
      <w:lvlJc w:val="start"/>
      <w:pPr>
        <w:tabs>
          <w:tab w:val="num" w:pos="4680"/>
        </w:tabs>
        <w:ind w:start="4320" w:hanging="0"/>
      </w:pPr>
    </w:lvl>
    <w:lvl w:ilvl="7">
      <w:start w:val="1"/>
      <w:pStyle w:val="Heading8"/>
      <w:numFmt w:val="lowerLetter"/>
      <w:lvlText w:val="(%8)"/>
      <w:lvlJc w:val="start"/>
      <w:pPr>
        <w:tabs>
          <w:tab w:val="num" w:pos="5400"/>
        </w:tabs>
        <w:ind w:start="5040" w:hanging="0"/>
      </w:pPr>
    </w:lvl>
    <w:lvl w:ilvl="8">
      <w:start w:val="1"/>
      <w:pStyle w:val="Heading9"/>
      <w:numFmt w:val="lowerRoman"/>
      <w:lvlText w:val="(%9)"/>
      <w:lvlJc w:val="start"/>
      <w:pPr>
        <w:tabs>
          <w:tab w:val="num" w:pos="6120"/>
        </w:tabs>
        <w:ind w:start="5760" w:hanging="0"/>
      </w:pPr>
    </w:lvl>
  </w:abstractNum>
  <w:abstractNum w:abstractNumId="2">
    <w:lvl w:ilvl="0">
      <w:start w:val="1"/>
      <w:numFmt w:val="decimal"/>
      <w:lvlText w:val="%1)"/>
      <w:lvlJc w:val="start"/>
      <w:pPr>
        <w:tabs>
          <w:tab w:val="num" w:pos="360"/>
        </w:tabs>
        <w:ind w:start="36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sz w:val="24"/>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paragraph" w:styleId="Heading8">
    <w:name w:val="heading 8"/>
    <w:basedOn w:val="Normal"/>
    <w:next w:val="Normal"/>
    <w:qFormat/>
    <w:pPr>
      <w:numPr>
        <w:ilvl w:val="7"/>
        <w:numId w:val="1"/>
      </w:numPr>
      <w:spacing w:before="240" w:after="60"/>
      <w:outlineLvl w:val="7"/>
    </w:pPr>
    <w:rPr>
      <w:rFonts w:ascii="Arial" w:hAnsi="Arial" w:cs="Arial"/>
      <w:i/>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3z0">
    <w:name w:val="WW8Num3z0"/>
    <w:qFormat/>
    <w:rPr>
      <w:rFonts w:ascii="Symbol" w:hAnsi="Symbol" w:cs="Symbol"/>
    </w:rPr>
  </w:style>
  <w:style w:type="character" w:styleId="WW8Num4z0">
    <w:name w:val="WW8Num4z0"/>
    <w:qFormat/>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2000-06-29T14:08:00Z</dcterms:created>
  <dc:creator>gpenman</dc:creator>
  <dc:description/>
  <dc:language>en-CA</dc:language>
  <cp:lastModifiedBy>gpenman</cp:lastModifiedBy>
  <cp:lastPrinted>2000-06-30T10:00:00Z</cp:lastPrinted>
  <dcterms:modified xsi:type="dcterms:W3CDTF">2000-06-30T12:30:00Z</dcterms:modified>
  <cp:revision>21</cp:revision>
  <dc:subject/>
  <dc:title>MEH Cash Management Policy</dc:title>
</cp:coreProperties>
</file>