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POLICY FOR SETTING UP OF MEGA POWER PROJECTS IN PRIVATE SECTOR</w:t>
      </w:r>
    </w:p>
    <w:p>
      <w:pPr>
        <w:pStyle w:val="Normal"/>
        <w:jc w:val="center"/>
        <w:rPr>
          <w:b/>
        </w:rPr>
      </w:pPr>
      <w:r>
        <w:rPr>
          <w:b/>
        </w:rPr>
        <w:t>November 10, 1995</w:t>
      </w:r>
    </w:p>
    <w:p>
      <w:pPr>
        <w:pStyle w:val="Normal"/>
        <w:jc w:val="center"/>
        <w:rPr>
          <w:b/>
        </w:rPr>
      </w:pPr>
      <w:r>
        <w:rPr>
          <w:b/>
        </w:rPr>
      </w:r>
    </w:p>
    <w:p>
      <w:pPr>
        <w:pStyle w:val="Normal"/>
        <w:jc w:val="center"/>
        <w:rPr>
          <w:b/>
        </w:rPr>
      </w:pPr>
      <w:r>
        <w:rPr>
          <w:b/>
        </w:rPr>
      </w:r>
    </w:p>
    <w:p>
      <w:pPr>
        <w:pStyle w:val="Normal"/>
        <w:rPr/>
      </w:pPr>
      <w:r>
        <w:rPr/>
        <w:t>Principles from cover letter:</w:t>
      </w:r>
    </w:p>
    <w:p>
      <w:pPr>
        <w:pStyle w:val="Normal"/>
        <w:numPr>
          <w:ilvl w:val="0"/>
          <w:numId w:val="2"/>
        </w:numPr>
        <w:rPr/>
      </w:pPr>
      <w:r>
        <w:rPr/>
        <w:t xml:space="preserve">Projects of </w:t>
      </w:r>
      <w:r>
        <w:rPr>
          <w:i/>
        </w:rPr>
        <w:t>1000MW and more</w:t>
      </w:r>
      <w:r>
        <w:rPr/>
        <w:t xml:space="preserve"> and </w:t>
      </w:r>
      <w:r>
        <w:rPr>
          <w:i/>
        </w:rPr>
        <w:t>catering power to more than one State</w:t>
      </w:r>
      <w:r>
        <w:rPr/>
        <w:t xml:space="preserve"> should be considered mega projects.</w:t>
      </w:r>
    </w:p>
    <w:p>
      <w:pPr>
        <w:pStyle w:val="Normal"/>
        <w:numPr>
          <w:ilvl w:val="0"/>
          <w:numId w:val="2"/>
        </w:numPr>
        <w:rPr/>
      </w:pPr>
      <w:r>
        <w:rPr>
          <w:i/>
        </w:rPr>
        <w:t>Competitive bidding</w:t>
      </w:r>
      <w:r>
        <w:rPr/>
        <w:t xml:space="preserve"> (Request for Qualification, short listing of potential developers, inviting Requests for Proposals, etc.)  would be utilized.  The projects would not be awarded based on negotiations with one party.  POWERGRID would provide escort service to the developer, act as a facilitator and catalyst, arrange for wheeling and enter into separate agreements with the user SEB/States on transmission.  The developer would enter into separate PPAs with the purchasing states.</w:t>
      </w:r>
    </w:p>
    <w:p>
      <w:pPr>
        <w:pStyle w:val="Normal"/>
        <w:numPr>
          <w:ilvl w:val="0"/>
          <w:numId w:val="2"/>
        </w:numPr>
        <w:rPr/>
      </w:pPr>
      <w:r>
        <w:rPr/>
        <w:t>CEA (Central Electricity Authority) would identify potential sites, National Thermal Power Company (NTPC) would prepare feasibility reports collecting the cost from private promoters and POWERGRID would select promoters and help in finalizing PPAs between the promoter and the SEBs.</w:t>
      </w:r>
    </w:p>
    <w:p>
      <w:pPr>
        <w:pStyle w:val="Normal"/>
        <w:rPr/>
      </w:pPr>
      <w:r>
        <w:rPr/>
      </w:r>
    </w:p>
    <w:p>
      <w:pPr>
        <w:pStyle w:val="Normal"/>
        <w:rPr/>
      </w:pPr>
      <w:r>
        <w:rPr/>
        <w:t>Listed mega projects are:</w:t>
      </w:r>
    </w:p>
    <w:p>
      <w:pPr>
        <w:pStyle w:val="Normal"/>
        <w:rPr/>
      </w:pPr>
      <w:r>
        <w:rPr/>
      </w:r>
    </w:p>
    <w:p>
      <w:pPr>
        <w:pStyle w:val="Normal"/>
        <w:rPr/>
      </w:pPr>
      <w:r>
        <w:rPr/>
        <w:t>NTPC and Davodar Valley Corporation would set up</w:t>
      </w:r>
    </w:p>
    <w:p>
      <w:pPr>
        <w:pStyle w:val="Normal"/>
        <w:rPr/>
      </w:pPr>
      <w:r>
        <w:rPr/>
        <w:t>K Stage II (1500 MW)</w:t>
      </w:r>
    </w:p>
    <w:p>
      <w:pPr>
        <w:pStyle w:val="Normal"/>
        <w:rPr/>
      </w:pPr>
      <w:r>
        <w:rPr/>
        <w:t>North Karanpura STPP (200 MW)</w:t>
      </w:r>
    </w:p>
    <w:p>
      <w:pPr>
        <w:pStyle w:val="Normal"/>
        <w:rPr/>
      </w:pPr>
      <w:r>
        <w:rPr/>
        <w:t>Barh STPP (2000 MW)</w:t>
      </w:r>
    </w:p>
    <w:p>
      <w:pPr>
        <w:pStyle w:val="Normal"/>
        <w:rPr/>
      </w:pPr>
      <w:r>
        <w:rPr/>
        <w:t>Maithon Proj (1000 MW)</w:t>
      </w:r>
    </w:p>
    <w:p>
      <w:pPr>
        <w:pStyle w:val="Normal"/>
        <w:rPr/>
      </w:pPr>
      <w:r>
        <w:rPr/>
        <w:t>Cheyyur (!500 MW)</w:t>
      </w:r>
    </w:p>
    <w:p>
      <w:pPr>
        <w:pStyle w:val="Normal"/>
        <w:rPr/>
      </w:pPr>
      <w:r>
        <w:rPr/>
      </w:r>
    </w:p>
    <w:p>
      <w:pPr>
        <w:pStyle w:val="Normal"/>
        <w:rPr/>
      </w:pPr>
      <w:r>
        <w:rPr/>
        <w:t>NTPC would expand:</w:t>
      </w:r>
    </w:p>
    <w:p>
      <w:pPr>
        <w:pStyle w:val="Normal"/>
        <w:rPr/>
      </w:pPr>
      <w:r>
        <w:rPr/>
        <w:t>Koel-Karo (710 MW)</w:t>
      </w:r>
    </w:p>
    <w:p>
      <w:pPr>
        <w:pStyle w:val="Normal"/>
        <w:rPr/>
      </w:pPr>
      <w:r>
        <w:rPr/>
        <w:t>Chamera-II (300 MW</w:t>
      </w:r>
    </w:p>
    <w:p>
      <w:pPr>
        <w:pStyle w:val="Normal"/>
        <w:rPr/>
      </w:pPr>
      <w:r>
        <w:rPr/>
        <w:t>Teesta-V (510 MW)  Check</w:t>
      </w:r>
    </w:p>
    <w:p>
      <w:pPr>
        <w:pStyle w:val="Normal"/>
        <w:rPr/>
      </w:pPr>
      <w:r>
        <w:rPr/>
        <w:t>Parati (800 MW)</w:t>
      </w:r>
    </w:p>
    <w:p>
      <w:pPr>
        <w:pStyle w:val="Normal"/>
        <w:rPr/>
      </w:pPr>
      <w:r>
        <w:rPr/>
      </w:r>
    </w:p>
    <w:p>
      <w:pPr>
        <w:pStyle w:val="Normal"/>
        <w:rPr/>
      </w:pPr>
      <w:r>
        <w:rPr/>
        <w:t>Private projects:</w:t>
      </w:r>
    </w:p>
    <w:p>
      <w:pPr>
        <w:pStyle w:val="Normal"/>
        <w:rPr/>
      </w:pPr>
      <w:r>
        <w:rPr/>
        <w:t>Cuddalore (1000 MW) based on coal</w:t>
      </w:r>
    </w:p>
    <w:p>
      <w:pPr>
        <w:pStyle w:val="Normal"/>
        <w:rPr/>
      </w:pPr>
      <w:r>
        <w:rPr/>
        <w:t>Krishnapattanam (1500 MW) coal</w:t>
      </w:r>
    </w:p>
    <w:p>
      <w:pPr>
        <w:pStyle w:val="Normal"/>
        <w:rPr/>
      </w:pPr>
      <w:r>
        <w:rPr/>
        <w:t>Pipavav (2000 MW) coal</w:t>
      </w:r>
    </w:p>
    <w:p>
      <w:pPr>
        <w:pStyle w:val="Normal"/>
        <w:rPr/>
      </w:pPr>
      <w:r>
        <w:rPr/>
        <w:t>Marmada (1000 MW to be expanded to 2000 MW) based on LNG)</w:t>
      </w:r>
    </w:p>
    <w:p>
      <w:pPr>
        <w:pStyle w:val="Normal"/>
        <w:rPr/>
      </w:pPr>
      <w:r>
        <w:rPr/>
      </w:r>
    </w:p>
    <w:p>
      <w:pPr>
        <w:pStyle w:val="Heading1"/>
        <w:ind w:hanging="0" w:start="0"/>
        <w:rPr/>
      </w:pPr>
      <w:r>
        <w:rPr/>
        <w:t>Provisions</w:t>
      </w:r>
    </w:p>
    <w:p>
      <w:pPr>
        <w:pStyle w:val="Normal"/>
        <w:numPr>
          <w:ilvl w:val="0"/>
          <w:numId w:val="4"/>
        </w:numPr>
        <w:rPr/>
      </w:pPr>
      <w:r>
        <w:rPr/>
        <w:t xml:space="preserve">Standing Independent Group (SIG) constituted in 1997, will establish parameters for negotiations of large generation projects and would initially be the body to oversee the implementation of the mega private power projects.  </w:t>
      </w:r>
    </w:p>
    <w:p>
      <w:pPr>
        <w:pStyle w:val="Normal"/>
        <w:numPr>
          <w:ilvl w:val="0"/>
          <w:numId w:val="4"/>
        </w:numPr>
        <w:rPr/>
      </w:pPr>
      <w:r>
        <w:rPr/>
        <w:t xml:space="preserve">Principles of competitive bidding will be adhered to </w:t>
      </w:r>
      <w:r>
        <w:rPr>
          <w:i/>
        </w:rPr>
        <w:t>as far as possible</w:t>
      </w:r>
      <w:r>
        <w:rPr/>
        <w:t>, while obtaining tariff offers.</w:t>
      </w:r>
    </w:p>
    <w:p>
      <w:pPr>
        <w:pStyle w:val="Normal"/>
        <w:numPr>
          <w:ilvl w:val="0"/>
          <w:numId w:val="4"/>
        </w:numPr>
        <w:rPr/>
      </w:pPr>
      <w:r>
        <w:rPr/>
        <w:t xml:space="preserve">Power Trading Company (PTC) will buy power from the private mega projects and sell it to identified SEBs.  As power would be sold to States, the concurrence of the concerned State Governments will be obtained.  </w:t>
      </w:r>
    </w:p>
    <w:p>
      <w:pPr>
        <w:pStyle w:val="Normal"/>
        <w:numPr>
          <w:ilvl w:val="0"/>
          <w:numId w:val="4"/>
        </w:numPr>
        <w:rPr/>
      </w:pPr>
      <w:r>
        <w:rPr/>
        <w:t>Security to be provided by LC and recourse to the State’s share of Central Plan Allocations and other devolutions.  PTC may also, if feasible, supply power directly to licensees and industrial establishments.    (Rationale: enables negotiation with one buyer and would eliminate mega-project risk regarding payment, bringing the tariff down substantially.)</w:t>
      </w:r>
    </w:p>
    <w:p>
      <w:pPr>
        <w:pStyle w:val="Normal"/>
        <w:numPr>
          <w:ilvl w:val="0"/>
          <w:numId w:val="4"/>
        </w:numPr>
        <w:rPr/>
      </w:pPr>
      <w:r>
        <w:rPr/>
        <w:t xml:space="preserve">Pre-condition is that beneficiary States must constitute regulatory Commissions with full powers to fix tariffs.  </w:t>
      </w:r>
    </w:p>
    <w:p>
      <w:pPr>
        <w:pStyle w:val="Normal"/>
        <w:numPr>
          <w:ilvl w:val="0"/>
          <w:numId w:val="4"/>
        </w:numPr>
        <w:rPr>
          <w:i/>
          <w:i/>
        </w:rPr>
      </w:pPr>
      <w:r>
        <w:rPr/>
        <w:t xml:space="preserve">Another pre-condition is that distribution must be privatized in the cities with a population of more than one million.  </w:t>
      </w:r>
      <w:r>
        <w:rPr>
          <w:i/>
        </w:rPr>
        <w:t xml:space="preserve">Public sector projects would deal directly with the SEBs and not through the PTC.  </w:t>
      </w:r>
    </w:p>
    <w:p>
      <w:pPr>
        <w:pStyle w:val="Normal"/>
        <w:numPr>
          <w:ilvl w:val="0"/>
          <w:numId w:val="4"/>
        </w:numPr>
        <w:rPr>
          <w:i/>
          <w:i/>
        </w:rPr>
      </w:pPr>
      <w:r>
        <w:rPr/>
        <w:t>Import of capital equipment free of customs duty.  (Price preference of 15% would be given for the projects under the public sector while export benefits under EXIM policy would be given to domestic bidders for projects under both public and private sector).   Income tax holiday regime would be continued with the provision that the 10 tax holiday period can be claimed by a promoter in any block of 10 years within the first 15 years.  State governments requested to exempt supplies made to mega power plants from sales tax and local levies.</w:t>
      </w:r>
    </w:p>
    <w:p>
      <w:pPr>
        <w:pStyle w:val="Normal"/>
        <w:rPr>
          <w:i/>
          <w:i/>
        </w:rPr>
      </w:pPr>
      <w:r>
        <w:rPr>
          <w:i/>
        </w:rPr>
      </w:r>
    </w:p>
    <w:p>
      <w:pPr>
        <w:pStyle w:val="Normal"/>
        <w:rPr>
          <w:i/>
          <w:i/>
        </w:rPr>
      </w:pPr>
      <w:r>
        <w:rPr>
          <w:i/>
        </w:rPr>
      </w:r>
    </w:p>
    <w:p>
      <w:pPr>
        <w:pStyle w:val="Heading1"/>
        <w:ind w:hanging="0" w:start="0"/>
        <w:rPr/>
      </w:pPr>
      <w:r>
        <w:rPr/>
        <w:t>Conditions</w:t>
      </w:r>
    </w:p>
    <w:p>
      <w:pPr>
        <w:pStyle w:val="Normal"/>
        <w:rPr/>
      </w:pPr>
      <w:r>
        <w:rPr/>
        <w:t xml:space="preserve">1000 MW </w:t>
      </w:r>
    </w:p>
    <w:p>
      <w:pPr>
        <w:pStyle w:val="Normal"/>
        <w:rPr/>
      </w:pPr>
      <w:r>
        <w:rPr/>
        <w:t>Catering power to more than one state.</w:t>
      </w:r>
    </w:p>
    <w:p>
      <w:pPr>
        <w:pStyle w:val="Normal"/>
        <w:rPr/>
      </w:pPr>
      <w:r>
        <w:rPr/>
        <w:t xml:space="preserve">Project competitively bid </w:t>
      </w:r>
    </w:p>
    <w:p>
      <w:pPr>
        <w:pStyle w:val="Normal"/>
        <w:rPr/>
      </w:pPr>
      <w:r>
        <w:rPr/>
        <w:t xml:space="preserve">Private mega power project power sold to PTC      </w:t>
      </w:r>
    </w:p>
    <w:p>
      <w:pPr>
        <w:pStyle w:val="Normal"/>
        <w:rPr/>
      </w:pPr>
      <w:r>
        <w:rPr/>
        <w:t>Concurrence of concerned States</w:t>
      </w:r>
    </w:p>
    <w:p>
      <w:pPr>
        <w:pStyle w:val="Normal"/>
        <w:rPr/>
      </w:pPr>
      <w:r>
        <w:rPr/>
        <w:t>Beneficiary states will have constituted regulatory Commissions as contemplated in the Central Act.</w:t>
      </w:r>
    </w:p>
    <w:p>
      <w:pPr>
        <w:pStyle w:val="Normal"/>
        <w:rPr/>
      </w:pPr>
      <w:r>
        <w:rPr/>
        <w:t>Distribution must be privatized in the cities with a population of more than one million.</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SCORECARD</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rHeight w:val="236"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1000 megawatt </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Depends: only small quantity not contracted.</w:t>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Catering power to more than one state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Project competitively bid</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60"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Concurrence of concerned States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No, but could probably get it</w:t>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Power sold to PTC</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Beneficiary states have SERCs</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Yes</w:t>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Distribution privatized</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Low tariff (see 1/12 Business Line)</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33"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Availability based tariff</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No</w:t>
            </w:r>
          </w:p>
        </w:tc>
      </w:tr>
    </w:tbl>
    <w:p>
      <w:pPr>
        <w:pStyle w:val="Normal"/>
        <w:rPr/>
      </w:pPr>
      <w:r>
        <w:rPr/>
      </w:r>
    </w:p>
    <w:p>
      <w:pPr>
        <w:pStyle w:val="Normal"/>
        <w:rPr/>
      </w:pPr>
      <w:r>
        <w:rPr/>
      </w:r>
    </w:p>
    <w:p>
      <w:pPr>
        <w:pStyle w:val="Normal"/>
        <w:rPr/>
      </w:pPr>
      <w:r>
        <w:rPr/>
      </w:r>
    </w:p>
    <w:p>
      <w:pPr>
        <w:pStyle w:val="Heading2"/>
        <w:ind w:hanging="0" w:start="0"/>
        <w:rPr/>
      </w:pPr>
      <w:r>
        <w:rPr/>
        <w:t>AVAILABILITY BASED TARIFF</w:t>
      </w:r>
    </w:p>
    <w:p>
      <w:pPr>
        <w:pStyle w:val="Normal"/>
        <w:rPr/>
      </w:pPr>
      <w:r>
        <w:rPr/>
      </w:r>
    </w:p>
    <w:p>
      <w:pPr>
        <w:pStyle w:val="Normal"/>
        <w:rPr/>
      </w:pPr>
      <w:r>
        <w:rPr/>
        <w:t xml:space="preserve">As reported in the </w:t>
      </w:r>
      <w:r>
        <w:rPr>
          <w:u w:val="single"/>
        </w:rPr>
        <w:t>Business Standard</w:t>
      </w:r>
      <w:r>
        <w:rPr/>
        <w:t>, issued January 5, 2000, by CERC</w:t>
      </w:r>
    </w:p>
    <w:p>
      <w:pPr>
        <w:pStyle w:val="Normal"/>
        <w:rPr/>
      </w:pPr>
      <w:r>
        <w:rPr/>
        <w:t>Will be applicable to all interstate generating stations, including the mega power projects (Rao stated that even though currently applies to government generators, once the tariffs for mega power projects come to the CERC, the ABT order will prevail as there cannot be different tariffs being followed for different organizations.</w:t>
      </w:r>
    </w:p>
    <w:p>
      <w:pPr>
        <w:pStyle w:val="Normal"/>
        <w:rPr/>
      </w:pPr>
      <w:r>
        <w:rPr/>
        <w:t xml:space="preserve">Mega power projects are interstate, supplying power to more than one state and </w:t>
      </w:r>
      <w:r>
        <w:rPr>
          <w:i/>
        </w:rPr>
        <w:t>come under the purview of CERC</w:t>
      </w:r>
      <w:r>
        <w:rPr/>
        <w:t xml:space="preserve">.  </w:t>
      </w:r>
    </w:p>
    <w:p>
      <w:pPr>
        <w:pStyle w:val="Normal"/>
        <w:rPr/>
      </w:pPr>
      <w:r>
        <w:rPr/>
        <w:t>Tariff order will form the basis for states to take up merit order operation within the state (appears to be pre-pool merit order dispatch preparation.)</w:t>
      </w:r>
    </w:p>
    <w:p>
      <w:pPr>
        <w:pStyle w:val="Normal"/>
        <w:rPr/>
      </w:pPr>
      <w:r>
        <w:rPr/>
        <w:t>Three bases for tariff:</w:t>
      </w:r>
    </w:p>
    <w:p>
      <w:pPr>
        <w:pStyle w:val="Normal"/>
        <w:numPr>
          <w:ilvl w:val="0"/>
          <w:numId w:val="3"/>
        </w:numPr>
        <w:rPr/>
      </w:pPr>
      <w:r>
        <w:rPr/>
        <w:t>Charge for Unscheduled Interchanges (supply and consumption of energy varying from the pre-committed daily schedule and will vary inversely with the system frequency prevailing at time of supply/consumption.)  Additional charge on the states from 0-4.2 rupees/unit for the frequency range of 50.5Hz to 49Hz.</w:t>
      </w:r>
    </w:p>
    <w:p>
      <w:pPr>
        <w:pStyle w:val="Normal"/>
        <w:numPr>
          <w:ilvl w:val="0"/>
          <w:numId w:val="3"/>
        </w:numPr>
        <w:rPr/>
      </w:pPr>
      <w:r>
        <w:rPr/>
        <w:t xml:space="preserve">Fixed charge payable every month by each SEB for </w:t>
      </w:r>
      <w:r>
        <w:rPr>
          <w:i/>
        </w:rPr>
        <w:t xml:space="preserve">making capacity available </w:t>
      </w:r>
      <w:r>
        <w:rPr/>
        <w:t xml:space="preserve">(as opposed to current 68.5% deemed plant load factor, varying on basis of availability.  Target level for recovery of fixed costs and return on equity has been fixed at 80% (85% after one year)  for all thermal stations.   </w:t>
      </w:r>
    </w:p>
    <w:p>
      <w:pPr>
        <w:pStyle w:val="Normal"/>
        <w:numPr>
          <w:ilvl w:val="0"/>
          <w:numId w:val="3"/>
        </w:numPr>
        <w:rPr/>
      </w:pPr>
      <w:r>
        <w:rPr/>
        <w:t>Energy charge = prevailing operational cost norms per unit of energy supplied as per a pre-committed schedule of daily supply.</w:t>
      </w:r>
    </w:p>
    <w:p>
      <w:pPr>
        <w:pStyle w:val="Normal"/>
        <w:numPr>
          <w:ilvl w:val="0"/>
          <w:numId w:val="3"/>
        </w:numPr>
        <w:rPr>
          <w:b/>
        </w:rPr>
      </w:pPr>
      <w:r>
        <w:rPr>
          <w:b/>
        </w:rPr>
        <w:t>NB</w:t>
      </w:r>
      <w:r>
        <w:rPr/>
        <w:t xml:space="preserve">.  </w:t>
      </w:r>
      <w:r>
        <w:rPr>
          <w:i/>
        </w:rPr>
        <w:t xml:space="preserve">The order permits MARKET PRICING for the trading of surplus energy </w:t>
      </w:r>
      <w:r>
        <w:rPr>
          <w:b/>
          <w:i/>
        </w:rPr>
        <w:t xml:space="preserve">by the SEB and the generator </w:t>
      </w:r>
      <w:r>
        <w:rPr>
          <w:i/>
        </w:rPr>
        <w:t>and has asked the central government to allocate the unallocated capacity from the central generating stations a month in advance.</w:t>
      </w:r>
    </w:p>
    <w:p>
      <w:pPr>
        <w:pStyle w:val="Normal"/>
        <w:rPr>
          <w:b/>
        </w:rPr>
      </w:pPr>
      <w:r>
        <w:rPr>
          <w:b/>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2000-01-13T18:04:00Z</dcterms:created>
  <dc:creator>eecc</dc:creator>
  <dc:description/>
  <dc:language>en-CA</dc:language>
  <cp:lastModifiedBy>eecc</cp:lastModifiedBy>
  <cp:lastPrinted>2000-01-14T08:41:00Z</cp:lastPrinted>
  <dcterms:modified xsi:type="dcterms:W3CDTF">2000-02-13T05:41:00Z</dcterms:modified>
  <cp:revision>8</cp:revision>
  <dc:subject/>
  <dc:title>POLICY FOR SETTING UP OF MEGA POWER PROJECTS IN PRIVATE SECTOR</dc:title>
</cp:coreProperties>
</file>